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18428">
      <w:pPr>
        <w:pStyle w:val="3"/>
        <w:spacing w:before="0"/>
        <w:rPr>
          <w:rFonts w:ascii="SimSun" w:hAnsi="SimSun" w:eastAsia="SimSun"/>
          <w:b/>
          <w:bCs/>
          <w:color w:val="181717" w:themeColor="background2" w:themeShade="1A"/>
          <w:sz w:val="96"/>
          <w:szCs w:val="96"/>
          <w:lang w:eastAsia="en-GB"/>
        </w:rPr>
      </w:pPr>
      <w:bookmarkStart w:id="0" w:name="_Toc13756"/>
      <w:r>
        <w:rPr>
          <w:b/>
          <w:bCs/>
          <w:color w:val="181717" w:themeColor="background2" w:themeShade="1A"/>
          <w:sz w:val="96"/>
          <w:szCs w:val="96"/>
        </w:rPr>
        <w:pict>
          <v:shape id="_x0000_s1026" o:spid="_x0000_s1026" o:spt="75" alt="resume1" type="#_x0000_t75" style="position:absolute;left:0pt;margin-left:-49.55pt;margin-top:-111.25pt;height:791.3pt;width:587pt;mso-position-horizontal-relative:page;mso-position-vertical-relative:page;z-index:-251657216;mso-width-relative:page;mso-height-relative:page;" filled="f" o:preferrelative="f" stroked="f" coordsize="21600,21600">
            <v:path/>
            <v:fill on="f" focussize="0,0"/>
            <v:stroke on="f"/>
            <v:imagedata r:id="rId10" o:title="resume1"/>
            <o:lock v:ext="edit" aspectratio="f"/>
          </v:shape>
        </w:pict>
      </w:r>
      <w:r>
        <w:rPr>
          <w:rFonts w:ascii="SimSun" w:hAnsi="SimSun" w:eastAsia="SimSun"/>
          <w:b/>
          <w:bCs/>
          <w:color w:val="181717" w:themeColor="background2" w:themeShade="1A"/>
          <w:sz w:val="96"/>
          <w:szCs w:val="96"/>
          <w:lang w:eastAsia="en-GB"/>
        </w:rPr>
        <w:t>MY VISION PLAN</w:t>
      </w:r>
      <w:bookmarkEnd w:id="0"/>
    </w:p>
    <w:p w14:paraId="2CD6BC26">
      <w:pPr>
        <w:pStyle w:val="3"/>
        <w:spacing w:before="0"/>
        <w:rPr>
          <w:rFonts w:ascii="SimSun" w:hAnsi="SimSun" w:eastAsia="SimSun"/>
          <w:b/>
          <w:bCs/>
          <w:color w:val="181717" w:themeColor="background2" w:themeShade="1A"/>
          <w:sz w:val="96"/>
          <w:szCs w:val="96"/>
          <w:lang w:eastAsia="en-GB"/>
        </w:rPr>
      </w:pPr>
      <w:bookmarkStart w:id="1" w:name="_Toc25901"/>
      <w:r>
        <w:rPr>
          <w:rFonts w:ascii="SimSun" w:hAnsi="SimSun" w:eastAsia="SimSun"/>
          <w:b/>
          <w:bCs/>
          <w:color w:val="181717" w:themeColor="background2" w:themeShade="1A"/>
          <w:sz w:val="96"/>
          <w:szCs w:val="96"/>
          <w:lang w:eastAsia="en-GB"/>
        </w:rPr>
        <w:t>FOR</w:t>
      </w:r>
      <w:bookmarkEnd w:id="1"/>
    </w:p>
    <w:p w14:paraId="28DF142D">
      <w:pPr>
        <w:pStyle w:val="3"/>
        <w:spacing w:before="0"/>
        <w:rPr>
          <w:rFonts w:ascii="SimSun" w:hAnsi="SimSun" w:eastAsia="SimSun"/>
          <w:b/>
          <w:bCs/>
          <w:color w:val="181717" w:themeColor="background2" w:themeShade="1A"/>
          <w:sz w:val="96"/>
          <w:szCs w:val="96"/>
          <w:lang w:eastAsia="en-GB"/>
        </w:rPr>
      </w:pPr>
      <w:bookmarkStart w:id="2" w:name="_Toc32294"/>
      <w:r>
        <w:rPr>
          <w:rFonts w:ascii="SimSun" w:hAnsi="SimSun" w:eastAsia="SimSun"/>
          <w:b/>
          <w:bCs/>
          <w:color w:val="181717" w:themeColor="background2" w:themeShade="1A"/>
          <w:sz w:val="96"/>
          <w:szCs w:val="96"/>
          <w:lang w:eastAsia="en-GB"/>
        </w:rPr>
        <w:t>FEDERAL UNIVERSITY LOKOJA</w:t>
      </w:r>
      <w:bookmarkEnd w:id="2"/>
    </w:p>
    <w:p w14:paraId="4ED7F6BF">
      <w:pPr>
        <w:rPr>
          <w:sz w:val="96"/>
          <w:szCs w:val="96"/>
        </w:rPr>
      </w:pPr>
      <w:r>
        <w:rPr>
          <w:sz w:val="96"/>
          <w:szCs w:val="96"/>
        </w:rPr>
        <w:pict>
          <v:rect id="_x0000_s1028" o:spid="_x0000_s1028" o:spt="1" style="position:absolute;left:0pt;margin-left:210.55pt;margin-top:0.6pt;height:148.1pt;width:228.2pt;rotation:-393216f;z-index:251660288;mso-width-relative:page;mso-height-relative:page;" filled="f" stroked="f" coordsize="21600,21600">
            <v:path/>
            <v:fill on="f" focussize="0,0"/>
            <v:stroke on="f"/>
            <v:imagedata o:title=""/>
            <o:lock v:ext="edit" aspectratio="f"/>
            <v:textbox>
              <w:txbxContent>
                <w:p w14:paraId="177B0C58">
                  <w:pPr>
                    <w:pStyle w:val="4"/>
                    <w:rPr>
                      <w:rFonts w:hint="default" w:asciiTheme="majorAscii" w:hAnsiTheme="majorAscii" w:cstheme="majorEastAsia"/>
                      <w:sz w:val="40"/>
                      <w:szCs w:val="40"/>
                      <w:lang w:val="en-GB" w:eastAsia="zh-CN"/>
                    </w:rPr>
                  </w:pPr>
                  <w:r>
                    <w:rPr>
                      <w:rFonts w:hint="default" w:asciiTheme="minorAscii" w:hAnsiTheme="minorAscii"/>
                      <w:b/>
                      <w:bCs/>
                      <w:color w:val="000000" w:themeColor="text1"/>
                      <w:sz w:val="56"/>
                      <w:szCs w:val="56"/>
                      <w:lang w:val="en-GB" w:eastAsia="zh-CN"/>
                      <w14:textFill>
                        <w14:solidFill>
                          <w14:schemeClr w14:val="tx1"/>
                        </w14:solidFill>
                      </w14:textFill>
                    </w:rPr>
                    <w:t>Prof GBENGA S. IBILEYE</w:t>
                  </w:r>
                </w:p>
                <w:p w14:paraId="04A9AB35">
                  <w:pPr>
                    <w:rPr>
                      <w:rFonts w:hint="default"/>
                      <w:b/>
                      <w:bCs/>
                      <w:sz w:val="36"/>
                      <w:szCs w:val="36"/>
                      <w:lang w:val="en-GB" w:eastAsia="zh-CN"/>
                    </w:rPr>
                  </w:pPr>
                  <w:r>
                    <w:rPr>
                      <w:rFonts w:hint="default"/>
                      <w:b/>
                      <w:bCs/>
                      <w:sz w:val="36"/>
                      <w:szCs w:val="36"/>
                      <w:lang w:val="en-GB" w:eastAsia="zh-CN"/>
                    </w:rPr>
                    <w:t>4</w:t>
                  </w:r>
                  <w:r>
                    <w:rPr>
                      <w:rFonts w:hint="default"/>
                      <w:b/>
                      <w:bCs/>
                      <w:sz w:val="36"/>
                      <w:szCs w:val="36"/>
                      <w:vertAlign w:val="superscript"/>
                      <w:lang w:val="en-GB" w:eastAsia="zh-CN"/>
                    </w:rPr>
                    <w:t>TH</w:t>
                  </w:r>
                  <w:r>
                    <w:rPr>
                      <w:rFonts w:hint="default"/>
                      <w:b/>
                      <w:bCs/>
                      <w:sz w:val="36"/>
                      <w:szCs w:val="36"/>
                      <w:lang w:val="en-GB" w:eastAsia="zh-CN"/>
                    </w:rPr>
                    <w:t xml:space="preserve"> VC FEDERAL UNIVERSITY LOKOJA </w:t>
                  </w:r>
                </w:p>
              </w:txbxContent>
            </v:textbox>
          </v:rect>
        </w:pict>
      </w:r>
    </w:p>
    <w:p w14:paraId="46276DC3">
      <w:pPr>
        <w:pStyle w:val="3"/>
        <w:spacing w:before="0"/>
        <w:rPr>
          <w:rFonts w:ascii="SimSun" w:hAnsi="SimSun" w:eastAsia="SimSun"/>
          <w:sz w:val="24"/>
          <w:szCs w:val="24"/>
          <w:lang w:eastAsia="en-GB"/>
        </w:rPr>
        <w:sectPr>
          <w:headerReference r:id="rId6" w:type="first"/>
          <w:footerReference r:id="rId8" w:type="first"/>
          <w:headerReference r:id="rId5" w:type="default"/>
          <w:footerReference r:id="rId7" w:type="default"/>
          <w:pgSz w:w="11904" w:h="11067"/>
          <w:pgMar w:top="1152" w:right="864" w:bottom="1440" w:left="1152" w:header="1440" w:footer="1440" w:gutter="0"/>
          <w:cols w:space="720" w:num="1"/>
          <w:titlePg/>
          <w:docGrid w:type="lines" w:linePitch="272" w:charSpace="0"/>
        </w:sectPr>
      </w:pPr>
      <w:r>
        <w:pict>
          <v:rect id="_x0000_s1027" o:spid="_x0000_s1027" o:spt="1" style="position:absolute;left:0pt;margin-left:243.05pt;margin-top:334.15pt;height:57.55pt;width:200.15pt;rotation:-393216f;z-index:251661312;mso-width-relative:page;mso-height-relative:page;" filled="f" stroked="f" coordsize="21600,21600">
            <v:path/>
            <v:fill on="f" focussize="0,0"/>
            <v:stroke on="f"/>
            <v:imagedata o:title=""/>
            <o:lock v:ext="edit" aspectratio="f"/>
            <v:textbox>
              <w:txbxContent>
                <w:p w14:paraId="267494B3">
                  <w:pPr>
                    <w:pStyle w:val="4"/>
                    <w:rPr>
                      <w:rFonts w:hint="default"/>
                      <w:lang w:val="en-GB" w:eastAsia="zh-CN"/>
                    </w:rPr>
                  </w:pPr>
                  <w:r>
                    <w:rPr>
                      <w:rFonts w:hint="default"/>
                      <w:lang w:val="en-GB" w:eastAsia="zh-CN"/>
                    </w:rPr>
                    <w:t>080655</w:t>
                  </w:r>
                </w:p>
              </w:txbxContent>
            </v:textbox>
          </v:rect>
        </w:pict>
      </w:r>
      <w:r>
        <w:rPr>
          <w:u w:val="none"/>
        </w:rPr>
        <w:pict>
          <v:shape id="_x0000_s1029" o:spid="_x0000_s1029" o:spt="172" type="#_x0000_t172" style="position:absolute;left:0pt;margin-left:224.8pt;margin-top:134.9pt;height:182.15pt;width:237.85pt;rotation:524288f;z-index:251662336;mso-width-relative:page;mso-height-relative:page;" fillcolor="#000000" filled="t" stroked="t" coordsize="21600,21600" adj="12000">
            <v:path/>
            <v:fill on="t" color2="#FFFFFF" focussize="0,0"/>
            <v:stroke color="#000000"/>
            <v:imagedata o:title=""/>
            <o:lock v:ext="edit" aspectratio="f"/>
            <v:textpath on="t" fitshape="t" fitpath="t" trim="t" xscale="f" string="MYVISON PLAN FOR FEDERAL UNIVERSITY LOKOJA" style="font-family:Tahoma;font-size:36pt;v-text-align:center;"/>
          </v:shape>
        </w:pict>
      </w:r>
    </w:p>
    <w:p w14:paraId="14785863">
      <w:pPr>
        <w:pStyle w:val="2"/>
        <w:rPr>
          <w:rFonts w:ascii="SimSun" w:hAnsi="SimSun" w:eastAsia="SimSun"/>
          <w:sz w:val="72"/>
          <w:szCs w:val="72"/>
          <w:lang w:eastAsia="en-GB"/>
        </w:rPr>
      </w:pPr>
      <w:bookmarkStart w:id="3" w:name="_Toc2543"/>
      <w:r>
        <w:rPr>
          <w:rFonts w:hint="default" w:ascii="SimSun" w:hAnsi="SimSun" w:eastAsia="SimSun"/>
          <w:b/>
          <w:bCs/>
          <w:color w:val="FF0000"/>
          <w:sz w:val="72"/>
          <w:szCs w:val="72"/>
          <w:lang w:val="en-US" w:eastAsia="en-GB"/>
        </w:rPr>
        <w:t>GOAL</w:t>
      </w:r>
      <w:r>
        <w:rPr>
          <w:rFonts w:ascii="SimSun" w:hAnsi="SimSun" w:eastAsia="SimSun"/>
          <w:sz w:val="72"/>
          <w:szCs w:val="72"/>
          <w:lang w:eastAsia="en-GB"/>
        </w:rPr>
        <w:t>:CONSOLI</w:t>
      </w:r>
      <w:r>
        <w:rPr>
          <w:rFonts w:hint="default" w:ascii="SimSun" w:hAnsi="SimSun" w:eastAsia="SimSun"/>
          <w:sz w:val="72"/>
          <w:szCs w:val="72"/>
          <w:lang w:val="en-US" w:eastAsia="en-GB"/>
        </w:rPr>
        <w:t>D</w:t>
      </w:r>
      <w:r>
        <w:rPr>
          <w:rFonts w:ascii="SimSun" w:hAnsi="SimSun" w:eastAsia="SimSun"/>
          <w:sz w:val="72"/>
          <w:szCs w:val="72"/>
          <w:lang w:eastAsia="en-GB"/>
        </w:rPr>
        <w:t>ATION, INNOVATION AND SUSTAINABILITY FOR INSTITUTIONAL RESILIENCE (2026 - 2031)</w:t>
      </w:r>
      <w:bookmarkEnd w:id="3"/>
    </w:p>
    <w:p w14:paraId="67E379DF">
      <w:pPr>
        <w:pStyle w:val="2"/>
        <w:rPr>
          <w:rFonts w:ascii="SimSun" w:hAnsi="SimSun" w:eastAsia="SimSun"/>
          <w:sz w:val="96"/>
          <w:szCs w:val="96"/>
          <w:lang w:eastAsia="en-GB"/>
        </w:rPr>
        <w:sectPr>
          <w:pgSz w:w="11067" w:h="11904" w:orient="landscape"/>
          <w:pgMar w:top="1152" w:right="1152" w:bottom="864" w:left="1440" w:header="1440" w:footer="1440" w:gutter="0"/>
          <w:cols w:space="720" w:num="1"/>
          <w:titlePg/>
          <w:docGrid w:type="lines" w:linePitch="272" w:charSpace="0"/>
        </w:sectPr>
      </w:pPr>
    </w:p>
    <w:p w14:paraId="0F596F6E">
      <w:pPr>
        <w:widowControl w:val="0"/>
        <w:autoSpaceDE w:val="0"/>
        <w:autoSpaceDN w:val="0"/>
        <w:adjustRightInd w:val="0"/>
        <w:spacing w:after="0" w:line="240" w:lineRule="auto"/>
        <w:rPr>
          <w:rFonts w:hint="eastAsia" w:ascii="SimSun" w:hAnsi="SimSun" w:eastAsia="SimSun" w:cs="SimSun"/>
          <w:b/>
          <w:bCs/>
          <w:color w:val="366091"/>
          <w:sz w:val="28"/>
          <w:szCs w:val="28"/>
          <w:lang w:val="en-US" w:eastAsia="en-US" w:bidi="ar-SA"/>
        </w:rPr>
      </w:pPr>
      <w:bookmarkStart w:id="4" w:name="_Toc22341"/>
    </w:p>
    <w:p w14:paraId="01704001">
      <w:pPr>
        <w:widowControl w:val="0"/>
        <w:autoSpaceDE w:val="0"/>
        <w:autoSpaceDN w:val="0"/>
        <w:adjustRightInd w:val="0"/>
        <w:spacing w:after="0" w:line="240" w:lineRule="auto"/>
        <w:rPr>
          <w:rFonts w:hint="eastAsia" w:ascii="SimSun" w:hAnsi="SimSun" w:eastAsia="SimSun" w:cs="SimSun"/>
          <w:b/>
          <w:bCs/>
          <w:color w:val="366091"/>
          <w:sz w:val="28"/>
          <w:szCs w:val="28"/>
          <w:lang w:val="en-US" w:eastAsia="en-US" w:bidi="ar-SA"/>
        </w:rPr>
      </w:pPr>
      <w:r>
        <w:rPr>
          <w:rFonts w:hint="eastAsia" w:ascii="SimSun" w:hAnsi="SimSun" w:eastAsia="SimSun" w:cs="SimSun"/>
          <w:b/>
          <w:bCs/>
          <w:color w:val="366091"/>
          <w:sz w:val="28"/>
          <w:szCs w:val="28"/>
          <w:lang w:val="en-US" w:eastAsia="en-US" w:bidi="ar-SA"/>
        </w:rPr>
        <w:t>EXECUTIVE SUMMARY</w:t>
      </w:r>
      <w:bookmarkEnd w:id="4"/>
    </w:p>
    <w:p w14:paraId="3180028B">
      <w:pPr>
        <w:widowControl w:val="0"/>
        <w:autoSpaceDE w:val="0"/>
        <w:autoSpaceDN w:val="0"/>
        <w:adjustRightInd w:val="0"/>
        <w:spacing w:after="0" w:line="240" w:lineRule="auto"/>
        <w:rPr>
          <w:rFonts w:hint="eastAsia" w:ascii="SimSun" w:hAnsi="SimSun" w:eastAsia="SimSun" w:cs="SimSun"/>
          <w:b/>
          <w:bCs/>
          <w:color w:val="366091"/>
          <w:sz w:val="28"/>
          <w:szCs w:val="28"/>
          <w:lang w:val="en-US" w:eastAsia="en-US" w:bidi="ar-SA"/>
        </w:rPr>
      </w:pPr>
    </w:p>
    <w:p w14:paraId="52DE9A6F">
      <w:pPr>
        <w:spacing w:after="200" w:line="276"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 xml:space="preserve">This Vision Plan (2026–2031) for Federal University Lokoja (FUL) is a roadmap for consolidating the institution’s early achievements and positioning it as a globally competitive centre of excellence in teaching, research, innovation, and community service. The plan is anchored on the </w:t>
      </w:r>
      <w:r>
        <w:rPr>
          <w:rFonts w:hint="default" w:ascii="SimSun" w:hAnsi="SimSun" w:eastAsia="SimSun" w:cs="SimSun"/>
          <w:sz w:val="28"/>
          <w:szCs w:val="28"/>
          <w:lang w:val="en-GB"/>
        </w:rPr>
        <w:t>goal</w:t>
      </w:r>
      <w:r>
        <w:rPr>
          <w:rFonts w:hint="eastAsia" w:ascii="SimSun" w:hAnsi="SimSun" w:eastAsia="SimSun" w:cs="SimSun"/>
          <w:sz w:val="28"/>
          <w:szCs w:val="28"/>
          <w:lang w:val="en-US"/>
        </w:rPr>
        <w:t>: “Consolidation, Innovation, and Sustainability for Institutional Resilience.”</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The strategic philosophy is rooted in transparency, inclusiveness, accountability, and service, and is guided by five major pillars:</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1. Governance and Leadership – strengthening participatory and transparent decision-making, institutional synergy, and professional integrity.</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2. Teaching, Learning, and Development – enhancing academic quality, introducing market-driven programmes, upgrading facilities, and fostering mentorship.</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3. Research and Global Partnerships – building centres of excellence, encouraging interdisciplinary research, and expanding international linkages.</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4. Infrastructure, ICT, and Community Engagement – accelerating development at the permanent site, creating a smart campus, embedding sustainability, and deepening industry-community partnerships.</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5. Staff and Student Welfare – addressing housing, transport, recreation, welfare support, and fostering a vibrant university culture.</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br w:type="textWrapping"/>
      </w:r>
      <w:r>
        <w:rPr>
          <w:rFonts w:hint="eastAsia" w:ascii="SimSun" w:hAnsi="SimSun" w:eastAsia="SimSun" w:cs="SimSun"/>
          <w:b/>
          <w:bCs/>
          <w:sz w:val="28"/>
          <w:szCs w:val="28"/>
          <w:lang w:val="en-US"/>
        </w:rPr>
        <w:t>The Implementation Roadmap unfolds in f</w:t>
      </w:r>
      <w:r>
        <w:rPr>
          <w:rFonts w:hint="default" w:ascii="SimSun" w:hAnsi="SimSun" w:eastAsia="SimSun" w:cs="SimSun"/>
          <w:b/>
          <w:bCs/>
          <w:sz w:val="28"/>
          <w:szCs w:val="28"/>
          <w:lang w:val="en-GB"/>
        </w:rPr>
        <w:t>ive</w:t>
      </w:r>
      <w:r>
        <w:rPr>
          <w:rFonts w:hint="eastAsia" w:ascii="SimSun" w:hAnsi="SimSun" w:eastAsia="SimSun" w:cs="SimSun"/>
          <w:b/>
          <w:bCs/>
          <w:sz w:val="28"/>
          <w:szCs w:val="28"/>
          <w:lang w:val="en-US"/>
        </w:rPr>
        <w:t xml:space="preserve"> phases:</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 Immediate Term (100 Days): stabilization measures, governance reforms, and urgent welfare interventions.</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 Short Term (1–2 Years): strengthening teaching, research culture, digitization, and infrastructural upgrades.</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 Medium Term (3–4 Years): consolidation of early gains, expansion of centres of excellence, internationalization, and infrastructural investments.</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 Long Term (5 Years+): positioning FUL among Nigeria’s top universities, achieving sustainability through endowments, investments, global rankings, and a climate-resilient campus.</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The plan also outlines risk mitigation strategies (e.g., resistance to change, funding shortfalls, security concerns) and emphasizes a robust Monitoring and Evaluation framework with measurable performance indicators.</w:t>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br w:type="textWrapping"/>
      </w:r>
      <w:r>
        <w:rPr>
          <w:rFonts w:hint="eastAsia" w:ascii="SimSun" w:hAnsi="SimSun" w:eastAsia="SimSun" w:cs="SimSun"/>
          <w:sz w:val="28"/>
          <w:szCs w:val="28"/>
          <w:lang w:val="en-US"/>
        </w:rPr>
        <w:t>Overall, the document presents a visionary yet pragmatic blueprint to transform Federal University Lokoja into a leading institution in Nigeria and a rising presence in Africa, underpinned by resilience, innovation, and excellence.</w:t>
      </w:r>
    </w:p>
    <w:p w14:paraId="7D4EF2B6">
      <w:pPr>
        <w:widowControl w:val="0"/>
        <w:autoSpaceDE w:val="0"/>
        <w:autoSpaceDN w:val="0"/>
        <w:adjustRightInd w:val="0"/>
        <w:spacing w:after="0" w:line="240" w:lineRule="auto"/>
        <w:jc w:val="both"/>
        <w:rPr>
          <w:rFonts w:hint="eastAsia" w:ascii="SimSun" w:hAnsi="SimSun" w:eastAsia="SimSun" w:cs="SimSun"/>
          <w:sz w:val="28"/>
          <w:szCs w:val="28"/>
          <w:lang w:eastAsia="en-GB"/>
        </w:rPr>
      </w:pPr>
    </w:p>
    <w:p w14:paraId="5F13CD9E">
      <w:pPr>
        <w:widowControl w:val="0"/>
        <w:autoSpaceDE w:val="0"/>
        <w:autoSpaceDN w:val="0"/>
        <w:adjustRightInd w:val="0"/>
        <w:spacing w:after="0" w:line="240" w:lineRule="auto"/>
        <w:rPr>
          <w:rFonts w:ascii="SimSun" w:hAnsi="SimSun" w:eastAsia="SimSun" w:cs="Times New Roman"/>
          <w:sz w:val="24"/>
          <w:szCs w:val="24"/>
          <w:lang w:eastAsia="en-GB"/>
        </w:rPr>
      </w:pPr>
    </w:p>
    <w:p w14:paraId="273A1D14">
      <w:pPr>
        <w:widowControl w:val="0"/>
        <w:autoSpaceDE w:val="0"/>
        <w:autoSpaceDN w:val="0"/>
        <w:adjustRightInd w:val="0"/>
        <w:spacing w:after="0" w:line="240" w:lineRule="auto"/>
        <w:rPr>
          <w:rFonts w:ascii="SimSun" w:hAnsi="SimSun" w:eastAsia="SimSun" w:cs="Times New Roman"/>
          <w:sz w:val="24"/>
          <w:szCs w:val="24"/>
          <w:lang w:eastAsia="en-GB"/>
        </w:rPr>
      </w:pPr>
    </w:p>
    <w:p w14:paraId="1374395E">
      <w:pPr>
        <w:widowControl w:val="0"/>
        <w:autoSpaceDE w:val="0"/>
        <w:autoSpaceDN w:val="0"/>
        <w:adjustRightInd w:val="0"/>
        <w:spacing w:after="0" w:line="240" w:lineRule="auto"/>
        <w:rPr>
          <w:rFonts w:ascii="SimSun" w:hAnsi="SimSun" w:eastAsia="SimSun" w:cs="Times New Roman"/>
          <w:sz w:val="24"/>
          <w:szCs w:val="24"/>
          <w:lang w:eastAsia="en-GB"/>
        </w:rPr>
      </w:pPr>
    </w:p>
    <w:p w14:paraId="64DAF09C">
      <w:pPr>
        <w:widowControl w:val="0"/>
        <w:autoSpaceDE w:val="0"/>
        <w:autoSpaceDN w:val="0"/>
        <w:adjustRightInd w:val="0"/>
        <w:spacing w:after="0" w:line="240" w:lineRule="auto"/>
        <w:rPr>
          <w:rFonts w:ascii="SimSun" w:hAnsi="SimSun" w:eastAsia="SimSun" w:cs="Times New Roman"/>
          <w:sz w:val="24"/>
          <w:szCs w:val="24"/>
          <w:lang w:eastAsia="en-GB"/>
        </w:rPr>
      </w:pPr>
    </w:p>
    <w:p w14:paraId="5E6C3D72">
      <w:pPr>
        <w:widowControl w:val="0"/>
        <w:autoSpaceDE w:val="0"/>
        <w:autoSpaceDN w:val="0"/>
        <w:adjustRightInd w:val="0"/>
        <w:spacing w:after="0" w:line="240" w:lineRule="auto"/>
        <w:rPr>
          <w:rFonts w:ascii="SimSun" w:hAnsi="SimSun" w:eastAsia="SimSun" w:cs="Times New Roman"/>
          <w:sz w:val="24"/>
          <w:szCs w:val="24"/>
          <w:lang w:eastAsia="en-GB"/>
        </w:rPr>
      </w:pPr>
    </w:p>
    <w:p w14:paraId="67AB27D1">
      <w:pPr>
        <w:widowControl w:val="0"/>
        <w:autoSpaceDE w:val="0"/>
        <w:autoSpaceDN w:val="0"/>
        <w:adjustRightInd w:val="0"/>
        <w:spacing w:after="0" w:line="240" w:lineRule="auto"/>
        <w:rPr>
          <w:rFonts w:ascii="SimSun" w:hAnsi="SimSun" w:eastAsia="SimSun" w:cs="Times New Roman"/>
          <w:sz w:val="24"/>
          <w:szCs w:val="24"/>
          <w:lang w:eastAsia="en-GB"/>
        </w:rPr>
      </w:pPr>
    </w:p>
    <w:p w14:paraId="35AA058E">
      <w:pPr>
        <w:widowControl w:val="0"/>
        <w:autoSpaceDE w:val="0"/>
        <w:autoSpaceDN w:val="0"/>
        <w:adjustRightInd w:val="0"/>
        <w:spacing w:after="0" w:line="240" w:lineRule="auto"/>
        <w:rPr>
          <w:rFonts w:ascii="SimSun" w:hAnsi="SimSun" w:eastAsia="SimSun" w:cs="Times New Roman"/>
          <w:sz w:val="24"/>
          <w:szCs w:val="24"/>
          <w:lang w:eastAsia="en-GB"/>
        </w:rPr>
      </w:pPr>
    </w:p>
    <w:p w14:paraId="1D5F9DF4">
      <w:pPr>
        <w:widowControl w:val="0"/>
        <w:autoSpaceDE w:val="0"/>
        <w:autoSpaceDN w:val="0"/>
        <w:adjustRightInd w:val="0"/>
        <w:spacing w:after="0" w:line="240" w:lineRule="auto"/>
        <w:rPr>
          <w:rFonts w:ascii="SimSun" w:hAnsi="SimSun" w:eastAsia="SimSun" w:cs="Times New Roman"/>
          <w:sz w:val="24"/>
          <w:szCs w:val="24"/>
          <w:lang w:eastAsia="en-GB"/>
        </w:rPr>
      </w:pPr>
    </w:p>
    <w:p w14:paraId="195AE76C">
      <w:pPr>
        <w:widowControl w:val="0"/>
        <w:autoSpaceDE w:val="0"/>
        <w:autoSpaceDN w:val="0"/>
        <w:adjustRightInd w:val="0"/>
        <w:spacing w:after="0" w:line="240" w:lineRule="auto"/>
        <w:rPr>
          <w:rFonts w:ascii="SimSun" w:hAnsi="SimSun" w:eastAsia="SimSun" w:cs="Times New Roman"/>
          <w:sz w:val="24"/>
          <w:szCs w:val="24"/>
          <w:lang w:eastAsia="en-GB"/>
        </w:rPr>
      </w:pPr>
    </w:p>
    <w:p w14:paraId="53AE59C9">
      <w:pPr>
        <w:widowControl w:val="0"/>
        <w:autoSpaceDE w:val="0"/>
        <w:autoSpaceDN w:val="0"/>
        <w:adjustRightInd w:val="0"/>
        <w:spacing w:after="0" w:line="240" w:lineRule="auto"/>
        <w:rPr>
          <w:rFonts w:ascii="SimSun" w:hAnsi="SimSun" w:eastAsia="SimSun" w:cs="Times New Roman"/>
          <w:sz w:val="24"/>
          <w:szCs w:val="24"/>
          <w:lang w:eastAsia="en-GB"/>
        </w:rPr>
      </w:pPr>
    </w:p>
    <w:p w14:paraId="74AAA6ED">
      <w:pPr>
        <w:widowControl w:val="0"/>
        <w:autoSpaceDE w:val="0"/>
        <w:autoSpaceDN w:val="0"/>
        <w:adjustRightInd w:val="0"/>
        <w:spacing w:after="0" w:line="240" w:lineRule="auto"/>
        <w:rPr>
          <w:rFonts w:ascii="SimSun" w:hAnsi="SimSun" w:eastAsia="SimSun" w:cs="Times New Roman"/>
          <w:sz w:val="24"/>
          <w:szCs w:val="24"/>
          <w:lang w:eastAsia="en-GB"/>
        </w:rPr>
      </w:pPr>
    </w:p>
    <w:p w14:paraId="61165EBD">
      <w:pPr>
        <w:widowControl w:val="0"/>
        <w:autoSpaceDE w:val="0"/>
        <w:autoSpaceDN w:val="0"/>
        <w:adjustRightInd w:val="0"/>
        <w:spacing w:after="0" w:line="240" w:lineRule="auto"/>
        <w:rPr>
          <w:rFonts w:ascii="SimSun" w:hAnsi="SimSun" w:eastAsia="SimSun" w:cs="Times New Roman"/>
          <w:sz w:val="24"/>
          <w:szCs w:val="24"/>
          <w:lang w:eastAsia="en-GB"/>
        </w:rPr>
      </w:pPr>
    </w:p>
    <w:p w14:paraId="5DCA9AA7">
      <w:pPr>
        <w:widowControl w:val="0"/>
        <w:autoSpaceDE w:val="0"/>
        <w:autoSpaceDN w:val="0"/>
        <w:adjustRightInd w:val="0"/>
        <w:spacing w:after="0" w:line="240" w:lineRule="auto"/>
        <w:rPr>
          <w:rFonts w:ascii="SimSun" w:hAnsi="SimSun" w:eastAsia="SimSun" w:cs="Times New Roman"/>
          <w:sz w:val="24"/>
          <w:szCs w:val="24"/>
          <w:lang w:eastAsia="en-GB"/>
        </w:rPr>
      </w:pPr>
    </w:p>
    <w:p w14:paraId="422C0068">
      <w:pPr>
        <w:widowControl w:val="0"/>
        <w:autoSpaceDE w:val="0"/>
        <w:autoSpaceDN w:val="0"/>
        <w:adjustRightInd w:val="0"/>
        <w:spacing w:after="0" w:line="240" w:lineRule="auto"/>
        <w:rPr>
          <w:rFonts w:ascii="SimSun" w:hAnsi="SimSun" w:eastAsia="SimSun" w:cs="Times New Roman"/>
          <w:sz w:val="24"/>
          <w:szCs w:val="24"/>
          <w:lang w:eastAsia="en-GB"/>
        </w:rPr>
      </w:pPr>
    </w:p>
    <w:p w14:paraId="328B0ECF">
      <w:pPr>
        <w:widowControl w:val="0"/>
        <w:autoSpaceDE w:val="0"/>
        <w:autoSpaceDN w:val="0"/>
        <w:adjustRightInd w:val="0"/>
        <w:spacing w:after="0" w:line="240" w:lineRule="auto"/>
        <w:rPr>
          <w:rFonts w:ascii="SimSun" w:hAnsi="SimSun" w:eastAsia="SimSun" w:cs="Times New Roman"/>
          <w:sz w:val="24"/>
          <w:szCs w:val="24"/>
          <w:lang w:eastAsia="en-GB"/>
        </w:rPr>
      </w:pPr>
    </w:p>
    <w:p w14:paraId="3B4BFDF4">
      <w:pPr>
        <w:widowControl w:val="0"/>
        <w:autoSpaceDE w:val="0"/>
        <w:autoSpaceDN w:val="0"/>
        <w:adjustRightInd w:val="0"/>
        <w:spacing w:after="0" w:line="240" w:lineRule="auto"/>
        <w:rPr>
          <w:rFonts w:ascii="SimSun" w:hAnsi="SimSun" w:eastAsia="SimSun" w:cs="Times New Roman"/>
          <w:sz w:val="24"/>
          <w:szCs w:val="24"/>
          <w:lang w:eastAsia="en-GB"/>
        </w:rPr>
      </w:pPr>
    </w:p>
    <w:p w14:paraId="2A0F8E85">
      <w:pPr>
        <w:widowControl w:val="0"/>
        <w:autoSpaceDE w:val="0"/>
        <w:autoSpaceDN w:val="0"/>
        <w:adjustRightInd w:val="0"/>
        <w:spacing w:after="0" w:line="240" w:lineRule="auto"/>
        <w:rPr>
          <w:rFonts w:ascii="SimSun" w:hAnsi="SimSun" w:eastAsia="SimSun" w:cs="Times New Roman"/>
          <w:sz w:val="24"/>
          <w:szCs w:val="24"/>
          <w:lang w:eastAsia="en-GB"/>
        </w:rPr>
      </w:pPr>
    </w:p>
    <w:p w14:paraId="28B38994">
      <w:pPr>
        <w:pStyle w:val="22"/>
        <w:tabs>
          <w:tab w:val="right" w:leader="dot" w:pos="9026"/>
        </w:tabs>
      </w:pPr>
      <w:r>
        <w:rPr>
          <w:rFonts w:ascii="SimSun" w:hAnsi="SimSun" w:eastAsia="SimSun" w:cs="Times New Roman"/>
          <w:sz w:val="24"/>
          <w:szCs w:val="24"/>
          <w:lang w:eastAsia="en-GB"/>
        </w:rPr>
        <w:fldChar w:fldCharType="begin"/>
      </w:r>
      <w:r>
        <w:rPr>
          <w:rFonts w:ascii="SimSun" w:hAnsi="SimSun" w:eastAsia="SimSun" w:cs="Times New Roman"/>
          <w:sz w:val="24"/>
          <w:szCs w:val="24"/>
          <w:lang w:eastAsia="en-GB"/>
        </w:rPr>
        <w:instrText xml:space="preserve">TOC \o "1-3" \h \u </w:instrText>
      </w:r>
      <w:r>
        <w:rPr>
          <w:rFonts w:ascii="SimSun" w:hAnsi="SimSun" w:eastAsia="SimSun" w:cs="Times New Roman"/>
          <w:sz w:val="24"/>
          <w:szCs w:val="24"/>
          <w:lang w:eastAsia="en-GB"/>
        </w:rPr>
        <w:fldChar w:fldCharType="separate"/>
      </w: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_Toc13756 </w:instrText>
      </w:r>
      <w:r>
        <w:rPr>
          <w:rFonts w:ascii="SimSun" w:hAnsi="SimSun" w:eastAsia="SimSun" w:cs="Times New Roman"/>
          <w:szCs w:val="24"/>
          <w:lang w:eastAsia="en-GB"/>
        </w:rPr>
        <w:fldChar w:fldCharType="separate"/>
      </w:r>
      <w:r>
        <w:rPr>
          <w:rFonts w:ascii="SimSun" w:hAnsi="SimSun" w:eastAsia="SimSun"/>
          <w:bCs/>
          <w:color w:val="010A13" w:themeColor="hyperlink" w:themeShade="1A"/>
          <w:szCs w:val="96"/>
          <w:lang w:eastAsia="en-GB"/>
        </w:rPr>
        <w:t>MY VISION PLAN</w:t>
      </w:r>
      <w:r>
        <w:tab/>
      </w:r>
      <w:r>
        <w:fldChar w:fldCharType="begin"/>
      </w:r>
      <w:r>
        <w:instrText xml:space="preserve"> PAGEREF _Toc13756 \h </w:instrText>
      </w:r>
      <w:r>
        <w:fldChar w:fldCharType="separate"/>
      </w:r>
      <w:r>
        <w:t>1</w:t>
      </w:r>
      <w:r>
        <w:fldChar w:fldCharType="end"/>
      </w:r>
      <w:r>
        <w:rPr>
          <w:rFonts w:ascii="SimSun" w:hAnsi="SimSun" w:eastAsia="SimSun" w:cs="Times New Roman"/>
          <w:szCs w:val="24"/>
          <w:lang w:eastAsia="en-GB"/>
        </w:rPr>
        <w:fldChar w:fldCharType="end"/>
      </w:r>
    </w:p>
    <w:p w14:paraId="677C6876">
      <w:pPr>
        <w:pStyle w:val="22"/>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_Toc25901 </w:instrText>
      </w:r>
      <w:r>
        <w:rPr>
          <w:rFonts w:ascii="SimSun" w:hAnsi="SimSun" w:eastAsia="SimSun" w:cs="Times New Roman"/>
          <w:szCs w:val="24"/>
          <w:lang w:eastAsia="en-GB"/>
        </w:rPr>
        <w:fldChar w:fldCharType="separate"/>
      </w:r>
      <w:r>
        <w:rPr>
          <w:rFonts w:ascii="SimSun" w:hAnsi="SimSun" w:eastAsia="SimSun"/>
          <w:bCs/>
          <w:color w:val="010A13" w:themeColor="hyperlink" w:themeShade="1A"/>
          <w:szCs w:val="96"/>
          <w:lang w:eastAsia="en-GB"/>
        </w:rPr>
        <w:t>FOR</w:t>
      </w:r>
      <w:r>
        <w:tab/>
      </w:r>
      <w:r>
        <w:fldChar w:fldCharType="begin"/>
      </w:r>
      <w:r>
        <w:instrText xml:space="preserve"> PAGEREF _Toc25901 \h </w:instrText>
      </w:r>
      <w:r>
        <w:fldChar w:fldCharType="separate"/>
      </w:r>
      <w:r>
        <w:t>1</w:t>
      </w:r>
      <w:r>
        <w:fldChar w:fldCharType="end"/>
      </w:r>
      <w:r>
        <w:rPr>
          <w:rFonts w:ascii="SimSun" w:hAnsi="SimSun" w:eastAsia="SimSun" w:cs="Times New Roman"/>
          <w:szCs w:val="24"/>
          <w:lang w:eastAsia="en-GB"/>
        </w:rPr>
        <w:fldChar w:fldCharType="end"/>
      </w:r>
    </w:p>
    <w:p w14:paraId="0D2668B8">
      <w:pPr>
        <w:pStyle w:val="22"/>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_Toc32294 </w:instrText>
      </w:r>
      <w:r>
        <w:rPr>
          <w:rFonts w:ascii="SimSun" w:hAnsi="SimSun" w:eastAsia="SimSun" w:cs="Times New Roman"/>
          <w:szCs w:val="24"/>
          <w:lang w:eastAsia="en-GB"/>
        </w:rPr>
        <w:fldChar w:fldCharType="separate"/>
      </w:r>
      <w:r>
        <w:rPr>
          <w:rFonts w:ascii="SimSun" w:hAnsi="SimSun" w:eastAsia="SimSun"/>
          <w:bCs/>
          <w:color w:val="010A13" w:themeColor="hyperlink" w:themeShade="1A"/>
          <w:szCs w:val="96"/>
          <w:lang w:eastAsia="en-GB"/>
        </w:rPr>
        <w:t>FEDERAL UNIVERSITY LOKOJA</w:t>
      </w:r>
      <w:r>
        <w:tab/>
      </w:r>
      <w:r>
        <w:fldChar w:fldCharType="begin"/>
      </w:r>
      <w:r>
        <w:instrText xml:space="preserve"> PAGEREF _Toc32294 \h </w:instrText>
      </w:r>
      <w:r>
        <w:fldChar w:fldCharType="separate"/>
      </w:r>
      <w:r>
        <w:t>1</w:t>
      </w:r>
      <w:r>
        <w:fldChar w:fldCharType="end"/>
      </w:r>
      <w:r>
        <w:rPr>
          <w:rFonts w:ascii="SimSun" w:hAnsi="SimSun" w:eastAsia="SimSun" w:cs="Times New Roman"/>
          <w:szCs w:val="24"/>
          <w:lang w:eastAsia="en-GB"/>
        </w:rPr>
        <w:fldChar w:fldCharType="end"/>
      </w:r>
    </w:p>
    <w:p w14:paraId="737C8F98">
      <w:pPr>
        <w:pStyle w:val="21"/>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_Toc2543 </w:instrText>
      </w:r>
      <w:r>
        <w:rPr>
          <w:rFonts w:ascii="SimSun" w:hAnsi="SimSun" w:eastAsia="SimSun" w:cs="Times New Roman"/>
          <w:szCs w:val="24"/>
          <w:lang w:eastAsia="en-GB"/>
        </w:rPr>
        <w:fldChar w:fldCharType="separate"/>
      </w:r>
      <w:r>
        <w:rPr>
          <w:rFonts w:ascii="SimSun" w:hAnsi="SimSun" w:eastAsia="SimSun"/>
          <w:szCs w:val="96"/>
          <w:lang w:eastAsia="en-GB"/>
        </w:rPr>
        <w:t>THEME: CONSOLITATION, INNOVATION AND SUSTAINABILITY FOR INSTITUTIONAL RESILIENCE (2026 - 2031)</w:t>
      </w:r>
      <w:r>
        <w:tab/>
      </w:r>
      <w:r>
        <w:fldChar w:fldCharType="begin"/>
      </w:r>
      <w:r>
        <w:instrText xml:space="preserve"> PAGEREF _Toc2543 \h </w:instrText>
      </w:r>
      <w:r>
        <w:fldChar w:fldCharType="separate"/>
      </w:r>
      <w:r>
        <w:t>2</w:t>
      </w:r>
      <w:r>
        <w:fldChar w:fldCharType="end"/>
      </w:r>
      <w:r>
        <w:rPr>
          <w:rFonts w:ascii="SimSun" w:hAnsi="SimSun" w:eastAsia="SimSun" w:cs="Times New Roman"/>
          <w:szCs w:val="24"/>
          <w:lang w:eastAsia="en-GB"/>
        </w:rPr>
        <w:fldChar w:fldCharType="end"/>
      </w:r>
    </w:p>
    <w:p w14:paraId="3A757834">
      <w:pPr>
        <w:pStyle w:val="21"/>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_Toc22341 </w:instrText>
      </w:r>
      <w:r>
        <w:rPr>
          <w:rFonts w:ascii="SimSun" w:hAnsi="SimSun" w:eastAsia="SimSun" w:cs="Times New Roman"/>
          <w:szCs w:val="24"/>
          <w:lang w:eastAsia="en-GB"/>
        </w:rPr>
        <w:fldChar w:fldCharType="separate"/>
      </w:r>
      <w:r>
        <w:rPr>
          <w:rFonts w:hint="eastAsia" w:ascii="SimSun" w:hAnsi="SimSun" w:eastAsia="SimSun" w:cs="SimSun"/>
          <w:bCs/>
          <w:szCs w:val="28"/>
          <w:lang w:val="en-US" w:eastAsia="en-US" w:bidi="ar-SA"/>
        </w:rPr>
        <w:t>Executive Summary</w:t>
      </w:r>
      <w:r>
        <w:tab/>
      </w:r>
      <w:r>
        <w:fldChar w:fldCharType="begin"/>
      </w:r>
      <w:r>
        <w:instrText xml:space="preserve"> PAGEREF _Toc22341 \h </w:instrText>
      </w:r>
      <w:r>
        <w:fldChar w:fldCharType="separate"/>
      </w:r>
      <w:r>
        <w:t>3</w:t>
      </w:r>
      <w:r>
        <w:fldChar w:fldCharType="end"/>
      </w:r>
      <w:r>
        <w:rPr>
          <w:rFonts w:ascii="SimSun" w:hAnsi="SimSun" w:eastAsia="SimSun" w:cs="Times New Roman"/>
          <w:szCs w:val="24"/>
          <w:lang w:eastAsia="en-GB"/>
        </w:rPr>
        <w:fldChar w:fldCharType="end"/>
      </w:r>
    </w:p>
    <w:p w14:paraId="3368B064">
      <w:pPr>
        <w:pStyle w:val="21"/>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_Toc8462 </w:instrText>
      </w:r>
      <w:r>
        <w:rPr>
          <w:rFonts w:ascii="SimSun" w:hAnsi="SimSun" w:eastAsia="SimSun" w:cs="Times New Roman"/>
          <w:szCs w:val="24"/>
          <w:lang w:eastAsia="en-GB"/>
        </w:rPr>
        <w:fldChar w:fldCharType="separate"/>
      </w:r>
      <w:r>
        <w:rPr>
          <w:rFonts w:hint="eastAsia" w:ascii="SimSun" w:hAnsi="SimSun" w:eastAsia="SimSun" w:cs="Times New Roman"/>
          <w:kern w:val="36"/>
          <w:szCs w:val="24"/>
          <w:lang w:eastAsia="en-GB"/>
        </w:rPr>
        <w:t>INTRODUCTION</w:t>
      </w:r>
      <w:r>
        <w:tab/>
      </w:r>
      <w:r>
        <w:fldChar w:fldCharType="begin"/>
      </w:r>
      <w:r>
        <w:instrText xml:space="preserve"> PAGEREF _Toc8462 \h </w:instrText>
      </w:r>
      <w:r>
        <w:fldChar w:fldCharType="separate"/>
      </w:r>
      <w:r>
        <w:t>5</w:t>
      </w:r>
      <w:r>
        <w:fldChar w:fldCharType="end"/>
      </w:r>
      <w:r>
        <w:rPr>
          <w:rFonts w:ascii="SimSun" w:hAnsi="SimSun" w:eastAsia="SimSun" w:cs="Times New Roman"/>
          <w:szCs w:val="24"/>
          <w:lang w:eastAsia="en-GB"/>
        </w:rPr>
        <w:fldChar w:fldCharType="end"/>
      </w:r>
    </w:p>
    <w:p w14:paraId="50227252">
      <w:pPr>
        <w:pStyle w:val="21"/>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_Toc15428 </w:instrText>
      </w:r>
      <w:r>
        <w:rPr>
          <w:rFonts w:ascii="SimSun" w:hAnsi="SimSun" w:eastAsia="SimSun" w:cs="Times New Roman"/>
          <w:szCs w:val="24"/>
          <w:lang w:eastAsia="en-GB"/>
        </w:rPr>
        <w:fldChar w:fldCharType="separate"/>
      </w:r>
      <w:r>
        <w:rPr>
          <w:rFonts w:hint="eastAsia" w:ascii="SimSun" w:hAnsi="SimSun" w:eastAsia="SimSun" w:cs="Times New Roman"/>
          <w:bCs/>
          <w:kern w:val="36"/>
          <w:szCs w:val="28"/>
          <w:lang w:eastAsia="en-GB"/>
        </w:rPr>
        <w:t>Action Plan 2026–2031</w:t>
      </w:r>
      <w:r>
        <w:tab/>
      </w:r>
      <w:r>
        <w:fldChar w:fldCharType="begin"/>
      </w:r>
      <w:r>
        <w:instrText xml:space="preserve"> PAGEREF _Toc15428 \h </w:instrText>
      </w:r>
      <w:r>
        <w:fldChar w:fldCharType="separate"/>
      </w:r>
      <w:r>
        <w:t>5</w:t>
      </w:r>
      <w:r>
        <w:fldChar w:fldCharType="end"/>
      </w:r>
      <w:r>
        <w:rPr>
          <w:rFonts w:ascii="SimSun" w:hAnsi="SimSun" w:eastAsia="SimSun" w:cs="Times New Roman"/>
          <w:szCs w:val="24"/>
          <w:lang w:eastAsia="en-GB"/>
        </w:rPr>
        <w:fldChar w:fldCharType="end"/>
      </w:r>
    </w:p>
    <w:p w14:paraId="7180333F">
      <w:pPr>
        <w:pStyle w:val="22"/>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_Toc5921 </w:instrText>
      </w:r>
      <w:r>
        <w:rPr>
          <w:rFonts w:ascii="SimSun" w:hAnsi="SimSun" w:eastAsia="SimSun" w:cs="Times New Roman"/>
          <w:szCs w:val="24"/>
          <w:lang w:eastAsia="en-GB"/>
        </w:rPr>
        <w:fldChar w:fldCharType="separate"/>
      </w:r>
      <w:r>
        <w:rPr>
          <w:rFonts w:hint="eastAsia" w:ascii="SimSun" w:hAnsi="SimSun" w:eastAsia="SimSun" w:cs="Times New Roman"/>
          <w:bCs/>
          <w:szCs w:val="28"/>
          <w:lang w:eastAsia="en-GB"/>
        </w:rPr>
        <w:t>Part One: Governance, Leadership and Institutional Management</w:t>
      </w:r>
      <w:r>
        <w:tab/>
      </w:r>
      <w:r>
        <w:fldChar w:fldCharType="begin"/>
      </w:r>
      <w:r>
        <w:instrText xml:space="preserve"> PAGEREF _Toc5921 \h </w:instrText>
      </w:r>
      <w:r>
        <w:fldChar w:fldCharType="separate"/>
      </w:r>
      <w:r>
        <w:t>6</w:t>
      </w:r>
      <w:r>
        <w:fldChar w:fldCharType="end"/>
      </w:r>
      <w:r>
        <w:rPr>
          <w:rFonts w:ascii="SimSun" w:hAnsi="SimSun" w:eastAsia="SimSun" w:cs="Times New Roman"/>
          <w:szCs w:val="24"/>
          <w:lang w:eastAsia="en-GB"/>
        </w:rPr>
        <w:fldChar w:fldCharType="end"/>
      </w:r>
    </w:p>
    <w:p w14:paraId="179A6730">
      <w:pPr>
        <w:pStyle w:val="22"/>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_Toc32377 </w:instrText>
      </w:r>
      <w:r>
        <w:rPr>
          <w:rFonts w:ascii="SimSun" w:hAnsi="SimSun" w:eastAsia="SimSun" w:cs="Times New Roman"/>
          <w:szCs w:val="24"/>
          <w:lang w:eastAsia="en-GB"/>
        </w:rPr>
        <w:fldChar w:fldCharType="separate"/>
      </w:r>
      <w:r>
        <w:rPr>
          <w:rFonts w:hint="eastAsia" w:ascii="SimSun" w:hAnsi="SimSun" w:eastAsia="SimSun" w:cs="Times New Roman"/>
          <w:bCs/>
          <w:szCs w:val="28"/>
          <w:lang w:eastAsia="en-GB"/>
        </w:rPr>
        <w:t>Part Two: Teaching, Learning, Staff, and Student Development</w:t>
      </w:r>
      <w:r>
        <w:tab/>
      </w:r>
      <w:r>
        <w:fldChar w:fldCharType="begin"/>
      </w:r>
      <w:r>
        <w:instrText xml:space="preserve"> PAGEREF _Toc32377 \h </w:instrText>
      </w:r>
      <w:r>
        <w:fldChar w:fldCharType="separate"/>
      </w:r>
      <w:r>
        <w:t>6</w:t>
      </w:r>
      <w:r>
        <w:fldChar w:fldCharType="end"/>
      </w:r>
      <w:r>
        <w:rPr>
          <w:rFonts w:ascii="SimSun" w:hAnsi="SimSun" w:eastAsia="SimSun" w:cs="Times New Roman"/>
          <w:szCs w:val="24"/>
          <w:lang w:eastAsia="en-GB"/>
        </w:rPr>
        <w:fldChar w:fldCharType="end"/>
      </w:r>
    </w:p>
    <w:p w14:paraId="7EDFDD60">
      <w:pPr>
        <w:pStyle w:val="22"/>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_Toc10328 </w:instrText>
      </w:r>
      <w:r>
        <w:rPr>
          <w:rFonts w:ascii="SimSun" w:hAnsi="SimSun" w:eastAsia="SimSun" w:cs="Times New Roman"/>
          <w:szCs w:val="24"/>
          <w:lang w:eastAsia="en-GB"/>
        </w:rPr>
        <w:fldChar w:fldCharType="separate"/>
      </w:r>
      <w:r>
        <w:rPr>
          <w:rFonts w:hint="eastAsia" w:ascii="SimSun" w:hAnsi="SimSun" w:eastAsia="SimSun" w:cs="Times New Roman"/>
          <w:bCs/>
          <w:szCs w:val="28"/>
          <w:lang w:eastAsia="en-GB"/>
        </w:rPr>
        <w:t>Part Three: Research, Innovation and Global Partnerships</w:t>
      </w:r>
      <w:r>
        <w:tab/>
      </w:r>
      <w:r>
        <w:fldChar w:fldCharType="begin"/>
      </w:r>
      <w:r>
        <w:instrText xml:space="preserve"> PAGEREF _Toc10328 \h </w:instrText>
      </w:r>
      <w:r>
        <w:fldChar w:fldCharType="separate"/>
      </w:r>
      <w:r>
        <w:t>7</w:t>
      </w:r>
      <w:r>
        <w:fldChar w:fldCharType="end"/>
      </w:r>
      <w:r>
        <w:rPr>
          <w:rFonts w:ascii="SimSun" w:hAnsi="SimSun" w:eastAsia="SimSun" w:cs="Times New Roman"/>
          <w:szCs w:val="24"/>
          <w:lang w:eastAsia="en-GB"/>
        </w:rPr>
        <w:fldChar w:fldCharType="end"/>
      </w:r>
    </w:p>
    <w:p w14:paraId="2C69B909">
      <w:pPr>
        <w:pStyle w:val="22"/>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_Toc29690 </w:instrText>
      </w:r>
      <w:r>
        <w:rPr>
          <w:rFonts w:ascii="SimSun" w:hAnsi="SimSun" w:eastAsia="SimSun" w:cs="Times New Roman"/>
          <w:szCs w:val="24"/>
          <w:lang w:eastAsia="en-GB"/>
        </w:rPr>
        <w:fldChar w:fldCharType="separate"/>
      </w:r>
      <w:r>
        <w:rPr>
          <w:rFonts w:hint="eastAsia" w:ascii="SimSun" w:hAnsi="SimSun" w:eastAsia="SimSun" w:cs="Times New Roman"/>
          <w:bCs/>
          <w:szCs w:val="28"/>
          <w:lang w:eastAsia="en-GB"/>
        </w:rPr>
        <w:t>Part Four: Infrastructure, ICT and Community Engagement</w:t>
      </w:r>
      <w:r>
        <w:tab/>
      </w:r>
      <w:r>
        <w:fldChar w:fldCharType="begin"/>
      </w:r>
      <w:r>
        <w:instrText xml:space="preserve"> PAGEREF _Toc29690 \h </w:instrText>
      </w:r>
      <w:r>
        <w:fldChar w:fldCharType="separate"/>
      </w:r>
      <w:r>
        <w:t>8</w:t>
      </w:r>
      <w:r>
        <w:fldChar w:fldCharType="end"/>
      </w:r>
      <w:r>
        <w:rPr>
          <w:rFonts w:ascii="SimSun" w:hAnsi="SimSun" w:eastAsia="SimSun" w:cs="Times New Roman"/>
          <w:szCs w:val="24"/>
          <w:lang w:eastAsia="en-GB"/>
        </w:rPr>
        <w:fldChar w:fldCharType="end"/>
      </w:r>
    </w:p>
    <w:p w14:paraId="73145CAB">
      <w:pPr>
        <w:pStyle w:val="21"/>
        <w:tabs>
          <w:tab w:val="right" w:leader="dot" w:pos="9026"/>
        </w:tabs>
      </w:pPr>
      <w:r>
        <w:rPr>
          <w:rFonts w:ascii="SimSun" w:hAnsi="SimSun" w:eastAsia="SimSun" w:cs="Times New Roman"/>
          <w:szCs w:val="24"/>
          <w:lang w:eastAsia="en-GB"/>
        </w:rPr>
        <w:fldChar w:fldCharType="begin"/>
      </w:r>
      <w:r>
        <w:rPr>
          <w:rFonts w:ascii="SimSun" w:hAnsi="SimSun" w:eastAsia="SimSun" w:cs="Times New Roman"/>
          <w:szCs w:val="24"/>
          <w:lang w:eastAsia="en-GB"/>
        </w:rPr>
        <w:instrText xml:space="preserve"> HYPERLINK \l _Toc14982 </w:instrText>
      </w:r>
      <w:r>
        <w:rPr>
          <w:rFonts w:ascii="SimSun" w:hAnsi="SimSun" w:eastAsia="SimSun" w:cs="Times New Roman"/>
          <w:szCs w:val="24"/>
          <w:lang w:eastAsia="en-GB"/>
        </w:rPr>
        <w:fldChar w:fldCharType="separate"/>
      </w:r>
      <w:r>
        <w:rPr>
          <w:rFonts w:ascii="SimSun" w:hAnsi="SimSun" w:eastAsia="SimSun" w:cs="Times New Roman"/>
          <w:bCs/>
          <w:kern w:val="36"/>
          <w:szCs w:val="28"/>
          <w:lang w:eastAsia="en-GB"/>
        </w:rPr>
        <w:t>Conclusion</w:t>
      </w:r>
      <w:r>
        <w:tab/>
      </w:r>
      <w:r>
        <w:fldChar w:fldCharType="begin"/>
      </w:r>
      <w:r>
        <w:instrText xml:space="preserve"> PAGEREF _Toc14982 \h </w:instrText>
      </w:r>
      <w:r>
        <w:fldChar w:fldCharType="separate"/>
      </w:r>
      <w:r>
        <w:t>22</w:t>
      </w:r>
      <w:r>
        <w:fldChar w:fldCharType="end"/>
      </w:r>
      <w:r>
        <w:rPr>
          <w:rFonts w:ascii="SimSun" w:hAnsi="SimSun" w:eastAsia="SimSun" w:cs="Times New Roman"/>
          <w:szCs w:val="24"/>
          <w:lang w:eastAsia="en-GB"/>
        </w:rPr>
        <w:fldChar w:fldCharType="end"/>
      </w:r>
    </w:p>
    <w:p w14:paraId="7517B880">
      <w:pPr>
        <w:widowControl w:val="0"/>
        <w:autoSpaceDE w:val="0"/>
        <w:autoSpaceDN w:val="0"/>
        <w:adjustRightInd w:val="0"/>
        <w:spacing w:after="0" w:line="240" w:lineRule="auto"/>
        <w:rPr>
          <w:rFonts w:ascii="SimSun" w:hAnsi="SimSun" w:eastAsia="SimSun" w:cs="Times New Roman"/>
          <w:sz w:val="24"/>
          <w:szCs w:val="24"/>
          <w:lang w:eastAsia="en-GB"/>
        </w:rPr>
      </w:pPr>
      <w:r>
        <w:rPr>
          <w:rFonts w:ascii="SimSun" w:hAnsi="SimSun" w:eastAsia="SimSun" w:cs="Times New Roman"/>
          <w:szCs w:val="24"/>
          <w:lang w:eastAsia="en-GB"/>
        </w:rPr>
        <w:fldChar w:fldCharType="end"/>
      </w:r>
    </w:p>
    <w:p w14:paraId="76907C81">
      <w:pPr>
        <w:widowControl w:val="0"/>
        <w:autoSpaceDE w:val="0"/>
        <w:autoSpaceDN w:val="0"/>
        <w:adjustRightInd w:val="0"/>
        <w:spacing w:before="100" w:beforeAutospacing="1" w:after="100" w:afterAutospacing="1" w:line="240" w:lineRule="auto"/>
        <w:outlineLvl w:val="0"/>
        <w:rPr>
          <w:rFonts w:ascii="SimSun" w:hAnsi="SimSun" w:eastAsia="SimSun" w:cs="Times New Roman"/>
          <w:b/>
          <w:kern w:val="36"/>
          <w:sz w:val="24"/>
          <w:szCs w:val="24"/>
          <w:lang w:eastAsia="en-GB"/>
        </w:rPr>
      </w:pPr>
      <w:bookmarkStart w:id="5" w:name="_Toc63258749"/>
      <w:bookmarkEnd w:id="5"/>
      <w:bookmarkStart w:id="6" w:name="_Toc8462"/>
      <w:r>
        <w:rPr>
          <w:rFonts w:hint="eastAsia" w:ascii="SimSun" w:hAnsi="SimSun" w:eastAsia="SimSun" w:cs="Times New Roman"/>
          <w:b/>
          <w:kern w:val="36"/>
          <w:sz w:val="24"/>
          <w:szCs w:val="24"/>
          <w:lang w:eastAsia="en-GB"/>
        </w:rPr>
        <w:t>INTRODUCTION</w:t>
      </w:r>
      <w:bookmarkEnd w:id="6"/>
    </w:p>
    <w:p w14:paraId="20055C59">
      <w:pPr>
        <w:widowControl w:val="0"/>
        <w:autoSpaceDE w:val="0"/>
        <w:autoSpaceDN w:val="0"/>
        <w:adjustRightInd w:val="0"/>
        <w:spacing w:after="0" w:line="240" w:lineRule="auto"/>
        <w:rPr>
          <w:rFonts w:hint="eastAsia" w:ascii="SimSun" w:hAnsi="SimSun" w:eastAsia="SimSun" w:cs="Times New Roman"/>
          <w:sz w:val="24"/>
          <w:szCs w:val="24"/>
          <w:lang w:eastAsia="en-GB"/>
        </w:rPr>
      </w:pPr>
      <w:r>
        <w:rPr>
          <w:rFonts w:hint="eastAsia" w:ascii="SimSun" w:hAnsi="SimSun" w:eastAsia="SimSun" w:cs="Times New Roman"/>
          <w:sz w:val="24"/>
          <w:szCs w:val="24"/>
          <w:lang w:eastAsia="en-GB"/>
        </w:rPr>
        <w:t xml:space="preserve"> </w:t>
      </w:r>
    </w:p>
    <w:p w14:paraId="08B48300">
      <w:pPr>
        <w:widowControl w:val="0"/>
        <w:autoSpaceDE w:val="0"/>
        <w:autoSpaceDN w:val="0"/>
        <w:adjustRightInd w:val="0"/>
        <w:spacing w:after="0"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Federal University Lokoja (FUL) is a fast-growing federal university established in 2011 in the confluence city of Lokoja (the capital of Kogi State). As one of Nigeria’s new-generation universities, FUL plays a strategic role in broadening access to higher education and driving human capital development, knowledge generation and socio-economic transformation. The University operates dual campuses: a permanent site at Felele (along the Lokoja–Okene road) and an urban campus at Adankolo in Lokoja. In its first 15 years, FUL has expanded from two founding faculties to fifteen faculties and two colleges: College of Health Sciences and College of Postgraduate Studies) offering over 60 programmes. </w:t>
      </w:r>
    </w:p>
    <w:p w14:paraId="1012411D">
      <w:pPr>
        <w:autoSpaceDE w:val="0"/>
        <w:autoSpaceDN w:val="0"/>
        <w:adjustRightInd w:val="0"/>
        <w:spacing w:before="100" w:beforeAutospacing="1" w:after="100" w:afterAutospacing="1" w:line="240" w:lineRule="auto"/>
        <w:outlineLvl w:val="0"/>
        <w:rPr>
          <w:rFonts w:hint="eastAsia" w:ascii="SimSun" w:hAnsi="SimSun" w:eastAsia="SimSun" w:cs="Times New Roman"/>
          <w:b/>
          <w:bCs/>
          <w:kern w:val="36"/>
          <w:sz w:val="28"/>
          <w:szCs w:val="28"/>
          <w:lang w:eastAsia="en-GB"/>
        </w:rPr>
      </w:pPr>
      <w:bookmarkStart w:id="7" w:name="_Toc15428"/>
      <w:r>
        <w:rPr>
          <w:rFonts w:hint="eastAsia" w:ascii="SimSun" w:hAnsi="SimSun" w:eastAsia="SimSun" w:cs="Times New Roman"/>
          <w:b/>
          <w:bCs/>
          <w:kern w:val="36"/>
          <w:sz w:val="28"/>
          <w:szCs w:val="28"/>
          <w:lang w:eastAsia="en-GB"/>
        </w:rPr>
        <w:t>Action Plan 2026–2031</w:t>
      </w:r>
      <w:bookmarkEnd w:id="7"/>
    </w:p>
    <w:p w14:paraId="2758AC29">
      <w:p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i/>
          <w:iCs/>
          <w:sz w:val="28"/>
          <w:szCs w:val="28"/>
          <w:lang w:eastAsia="en-GB"/>
        </w:rPr>
        <w:t>My Vision for Federal University Lokoja</w:t>
      </w:r>
    </w:p>
    <w:p w14:paraId="0FD16455">
      <w:p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The Action Plan for Federal University Lokoja (FUL) is guided by my conviction that the University can be transformed into a </w:t>
      </w:r>
      <w:r>
        <w:rPr>
          <w:rFonts w:hint="eastAsia" w:ascii="SimSun" w:hAnsi="SimSun" w:eastAsia="SimSun" w:cs="Times New Roman"/>
          <w:b/>
          <w:bCs/>
          <w:sz w:val="28"/>
          <w:szCs w:val="28"/>
          <w:lang w:eastAsia="en-GB"/>
        </w:rPr>
        <w:t>globally recognized centre of academic excellence, innovation, and societal impact</w:t>
      </w:r>
      <w:r>
        <w:rPr>
          <w:rFonts w:hint="eastAsia" w:ascii="SimSun" w:hAnsi="SimSun" w:eastAsia="SimSun" w:cs="Times New Roman"/>
          <w:sz w:val="28"/>
          <w:szCs w:val="28"/>
          <w:lang w:eastAsia="en-GB"/>
        </w:rPr>
        <w:t xml:space="preserve">. My vision is rooted in the principles of </w:t>
      </w:r>
      <w:r>
        <w:rPr>
          <w:rFonts w:hint="eastAsia" w:ascii="SimSun" w:hAnsi="SimSun" w:eastAsia="SimSun" w:cs="Times New Roman"/>
          <w:b/>
          <w:bCs/>
          <w:sz w:val="28"/>
          <w:szCs w:val="28"/>
          <w:lang w:eastAsia="en-GB"/>
        </w:rPr>
        <w:t>transparency, inclusiveness, accountability, and service</w:t>
      </w:r>
      <w:r>
        <w:rPr>
          <w:rFonts w:hint="eastAsia" w:ascii="SimSun" w:hAnsi="SimSun" w:eastAsia="SimSun" w:cs="Times New Roman"/>
          <w:sz w:val="28"/>
          <w:szCs w:val="28"/>
          <w:lang w:eastAsia="en-GB"/>
        </w:rPr>
        <w:t>, and it draws upon my experiences as a teacher, researcher, administrator, and international scholar. Over the next five years, my goal is to consolidate on existing achievements while opening new frontiers that will position FUL as a leader in knowledge production, industry relevance, and community development.</w:t>
      </w:r>
    </w:p>
    <w:p w14:paraId="6F02D6A2">
      <w:p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To achieve this, the Plan is structured into four interrelated parts:</w:t>
      </w:r>
    </w:p>
    <w:p w14:paraId="5AF1092C">
      <w:pPr>
        <w:autoSpaceDE w:val="0"/>
        <w:autoSpaceDN w:val="0"/>
        <w:adjustRightInd w:val="0"/>
        <w:spacing w:before="100" w:beforeAutospacing="1" w:after="100" w:afterAutospacing="1" w:line="240" w:lineRule="auto"/>
        <w:outlineLvl w:val="1"/>
        <w:rPr>
          <w:rFonts w:hint="default" w:ascii="SimSun" w:hAnsi="SimSun" w:eastAsia="SimSun" w:cs="Times New Roman"/>
          <w:b/>
          <w:bCs/>
          <w:sz w:val="28"/>
          <w:szCs w:val="28"/>
          <w:lang w:val="en-US" w:eastAsia="en-GB"/>
        </w:rPr>
      </w:pPr>
      <w:bookmarkStart w:id="8" w:name="_Toc5921"/>
      <w:r>
        <w:rPr>
          <w:rFonts w:hint="eastAsia" w:ascii="SimSun" w:hAnsi="SimSun" w:eastAsia="SimSun" w:cs="Times New Roman"/>
          <w:b/>
          <w:bCs/>
          <w:sz w:val="28"/>
          <w:szCs w:val="28"/>
          <w:lang w:eastAsia="en-GB"/>
        </w:rPr>
        <w:t xml:space="preserve">PART ONE: </w:t>
      </w:r>
      <w:r>
        <w:rPr>
          <w:rFonts w:hint="default" w:ascii="SimSun" w:hAnsi="SimSun" w:eastAsia="SimSun" w:cs="Times New Roman"/>
          <w:b/>
          <w:bCs/>
          <w:sz w:val="28"/>
          <w:szCs w:val="28"/>
          <w:lang w:val="en-US" w:eastAsia="en-GB"/>
        </w:rPr>
        <w:t xml:space="preserve">STRATEGIC </w:t>
      </w:r>
      <w:r>
        <w:rPr>
          <w:rFonts w:hint="eastAsia" w:ascii="SimSun" w:hAnsi="SimSun" w:eastAsia="SimSun" w:cs="Times New Roman"/>
          <w:b/>
          <w:bCs/>
          <w:sz w:val="28"/>
          <w:szCs w:val="28"/>
          <w:lang w:eastAsia="en-GB"/>
        </w:rPr>
        <w:t xml:space="preserve">GOVERNANCE, LEADERSHIP AND INSTITUTIONAL </w:t>
      </w:r>
      <w:bookmarkEnd w:id="8"/>
      <w:r>
        <w:rPr>
          <w:rFonts w:hint="default" w:ascii="SimSun" w:hAnsi="SimSun" w:eastAsia="SimSun" w:cs="Times New Roman"/>
          <w:b/>
          <w:bCs/>
          <w:sz w:val="28"/>
          <w:szCs w:val="28"/>
          <w:lang w:val="en-US" w:eastAsia="en-GB"/>
        </w:rPr>
        <w:t xml:space="preserve">STABILITY </w:t>
      </w:r>
    </w:p>
    <w:p w14:paraId="6BF9D4CB">
      <w:p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Strong leadership is the backbone of any successful institution. I will pursue a leadership style that is participatory, transparent, and accountable. My approach will be to:</w:t>
      </w:r>
    </w:p>
    <w:p w14:paraId="6A655A97">
      <w:pPr>
        <w:widowControl w:val="0"/>
        <w:numPr>
          <w:ilvl w:val="0"/>
          <w:numId w:val="1"/>
        </w:numPr>
        <w:autoSpaceDE w:val="0"/>
        <w:autoSpaceDN w:val="0"/>
        <w:adjustRightInd w:val="0"/>
        <w:spacing w:before="100" w:beforeAutospacing="1" w:after="100" w:afterAutospacing="1" w:line="240" w:lineRule="auto"/>
        <w:ind w:left="580" w:leftChars="0" w:firstLineChars="0"/>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Strengthen the synergy between Council and Management for the delivery of governance benefits to the University.</w:t>
      </w:r>
    </w:p>
    <w:p w14:paraId="4D5153F5">
      <w:pPr>
        <w:widowControl w:val="0"/>
        <w:numPr>
          <w:ilvl w:val="0"/>
          <w:numId w:val="1"/>
        </w:numPr>
        <w:autoSpaceDE w:val="0"/>
        <w:autoSpaceDN w:val="0"/>
        <w:adjustRightInd w:val="0"/>
        <w:spacing w:before="100" w:beforeAutospacing="1" w:after="100" w:afterAutospacing="1" w:line="240" w:lineRule="auto"/>
        <w:ind w:left="580" w:leftChars="0" w:firstLineChars="0"/>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Strengthen internal governance structures by empowering Senate and other statutory bodies to function effectively.</w:t>
      </w:r>
    </w:p>
    <w:p w14:paraId="6E6211B9">
      <w:pPr>
        <w:widowControl w:val="0"/>
        <w:numPr>
          <w:ilvl w:val="0"/>
          <w:numId w:val="1"/>
        </w:numPr>
        <w:autoSpaceDE w:val="0"/>
        <w:autoSpaceDN w:val="0"/>
        <w:adjustRightInd w:val="0"/>
        <w:spacing w:before="100" w:beforeAutospacing="1" w:after="100" w:afterAutospacing="1" w:line="240" w:lineRule="auto"/>
        <w:ind w:left="580" w:leftChars="0" w:firstLineChars="0"/>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Staff audit, promotion lacklog issues.</w:t>
      </w:r>
    </w:p>
    <w:p w14:paraId="440EB692">
      <w:pPr>
        <w:widowControl w:val="0"/>
        <w:numPr>
          <w:ilvl w:val="0"/>
          <w:numId w:val="1"/>
        </w:numPr>
        <w:autoSpaceDE w:val="0"/>
        <w:autoSpaceDN w:val="0"/>
        <w:adjustRightInd w:val="0"/>
        <w:spacing w:before="100" w:beforeAutospacing="1" w:after="100" w:afterAutospacing="1" w:line="240" w:lineRule="auto"/>
        <w:ind w:left="580" w:leftChars="0" w:firstLineChars="0"/>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Institutionalize transparency in financial management, resource allocation and decision-making processes.</w:t>
      </w:r>
    </w:p>
    <w:p w14:paraId="037ECD58">
      <w:pPr>
        <w:widowControl w:val="0"/>
        <w:numPr>
          <w:ilvl w:val="0"/>
          <w:numId w:val="1"/>
        </w:numPr>
        <w:autoSpaceDE w:val="0"/>
        <w:autoSpaceDN w:val="0"/>
        <w:adjustRightInd w:val="0"/>
        <w:spacing w:before="100" w:beforeAutospacing="1" w:after="100" w:afterAutospacing="1" w:line="240" w:lineRule="auto"/>
        <w:ind w:left="580" w:leftChars="0" w:firstLineChars="0"/>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Promote inclusiveness by ensuring competencies, gender balance, fair representation and equitable opportunities for staff and students. </w:t>
      </w:r>
    </w:p>
    <w:p w14:paraId="4FD1BAA8">
      <w:pPr>
        <w:widowControl w:val="0"/>
        <w:numPr>
          <w:ilvl w:val="0"/>
          <w:numId w:val="1"/>
        </w:numPr>
        <w:autoSpaceDE w:val="0"/>
        <w:autoSpaceDN w:val="0"/>
        <w:adjustRightInd w:val="0"/>
        <w:spacing w:before="100" w:beforeAutospacing="1" w:after="100" w:afterAutospacing="1" w:line="240" w:lineRule="auto"/>
        <w:ind w:left="580" w:leftChars="0" w:firstLineChars="0"/>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Introduce performance-based management systems to improve efficiency,</w:t>
      </w:r>
      <w:r>
        <w:rPr>
          <w:rFonts w:hint="default" w:ascii="SimSun" w:hAnsi="SimSun" w:eastAsia="SimSun" w:cs="Times New Roman"/>
          <w:sz w:val="28"/>
          <w:szCs w:val="28"/>
          <w:lang w:val="en-US" w:eastAsia="en-GB"/>
        </w:rPr>
        <w:t xml:space="preserve">effectiveness, </w:t>
      </w:r>
      <w:r>
        <w:rPr>
          <w:rFonts w:hint="eastAsia" w:ascii="SimSun" w:hAnsi="SimSun" w:eastAsia="SimSun" w:cs="Times New Roman"/>
          <w:sz w:val="28"/>
          <w:szCs w:val="28"/>
          <w:lang w:eastAsia="en-GB"/>
        </w:rPr>
        <w:t xml:space="preserve"> accountability and service delivery</w:t>
      </w:r>
      <w:r>
        <w:rPr>
          <w:rFonts w:hint="default" w:ascii="SimSun" w:hAnsi="SimSun" w:eastAsia="SimSun" w:cs="Times New Roman"/>
          <w:sz w:val="28"/>
          <w:szCs w:val="28"/>
          <w:lang w:val="en-US" w:eastAsia="en-GB"/>
        </w:rPr>
        <w:t>.</w:t>
      </w:r>
    </w:p>
    <w:p w14:paraId="32985554">
      <w:pPr>
        <w:widowControl w:val="0"/>
        <w:numPr>
          <w:ilvl w:val="0"/>
          <w:numId w:val="1"/>
        </w:numPr>
        <w:autoSpaceDE w:val="0"/>
        <w:autoSpaceDN w:val="0"/>
        <w:adjustRightInd w:val="0"/>
        <w:spacing w:before="100" w:beforeAutospacing="1" w:after="100" w:afterAutospacing="1" w:line="240" w:lineRule="auto"/>
        <w:ind w:left="580" w:leftChars="0" w:firstLineChars="0"/>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I</w:t>
      </w:r>
      <w:r>
        <w:rPr>
          <w:rFonts w:hint="eastAsia" w:ascii="SimSun" w:hAnsi="SimSun" w:eastAsia="SimSun" w:cs="Times New Roman"/>
          <w:sz w:val="28"/>
          <w:szCs w:val="28"/>
          <w:lang w:eastAsia="en-GB"/>
        </w:rPr>
        <w:t>nstitutionalise a robust reward system</w:t>
      </w:r>
      <w:r>
        <w:rPr>
          <w:rFonts w:hint="default" w:ascii="SimSun" w:hAnsi="SimSun" w:eastAsia="SimSun" w:cs="Times New Roman"/>
          <w:sz w:val="28"/>
          <w:szCs w:val="28"/>
          <w:lang w:val="en-US" w:eastAsia="en-GB"/>
        </w:rPr>
        <w:t xml:space="preserve">  for staff who bring innovation and project development</w:t>
      </w:r>
    </w:p>
    <w:p w14:paraId="19922BDC">
      <w:pPr>
        <w:widowControl w:val="0"/>
        <w:numPr>
          <w:ilvl w:val="0"/>
          <w:numId w:val="1"/>
        </w:numPr>
        <w:autoSpaceDE w:val="0"/>
        <w:autoSpaceDN w:val="0"/>
        <w:adjustRightInd w:val="0"/>
        <w:spacing w:before="100" w:beforeAutospacing="1" w:after="100" w:afterAutospacing="1" w:line="240" w:lineRule="auto"/>
        <w:ind w:left="580" w:leftChars="0" w:firstLineChars="0"/>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Constitute all relevant committees </w:t>
      </w:r>
    </w:p>
    <w:p w14:paraId="190E3F60">
      <w:pPr>
        <w:widowControl w:val="0"/>
        <w:numPr>
          <w:ilvl w:val="0"/>
          <w:numId w:val="1"/>
        </w:numPr>
        <w:autoSpaceDE w:val="0"/>
        <w:autoSpaceDN w:val="0"/>
        <w:adjustRightInd w:val="0"/>
        <w:spacing w:before="100" w:beforeAutospacing="1" w:after="100" w:afterAutospacing="1" w:line="240" w:lineRule="auto"/>
        <w:ind w:left="580" w:leftChars="0" w:firstLineChars="0"/>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Cultivate a culture of integrity and professionalism across the University.</w:t>
      </w:r>
    </w:p>
    <w:p w14:paraId="36B59D08">
      <w:pPr>
        <w:autoSpaceDE w:val="0"/>
        <w:autoSpaceDN w:val="0"/>
        <w:adjustRightInd w:val="0"/>
        <w:spacing w:before="100" w:beforeAutospacing="1" w:after="100" w:afterAutospacing="1" w:line="240" w:lineRule="auto"/>
        <w:outlineLvl w:val="1"/>
        <w:rPr>
          <w:rFonts w:hint="eastAsia" w:ascii="SimSun" w:hAnsi="SimSun" w:eastAsia="SimSun" w:cs="Times New Roman"/>
          <w:b/>
          <w:bCs/>
          <w:sz w:val="28"/>
          <w:szCs w:val="28"/>
          <w:lang w:eastAsia="en-GB"/>
        </w:rPr>
      </w:pPr>
      <w:bookmarkStart w:id="9" w:name="_Toc32377"/>
    </w:p>
    <w:p w14:paraId="4F24C4FF">
      <w:pPr>
        <w:autoSpaceDE w:val="0"/>
        <w:autoSpaceDN w:val="0"/>
        <w:adjustRightInd w:val="0"/>
        <w:spacing w:before="100" w:beforeAutospacing="1" w:after="100" w:afterAutospacing="1" w:line="240" w:lineRule="auto"/>
        <w:outlineLvl w:val="1"/>
        <w:rPr>
          <w:rFonts w:hint="eastAsia" w:ascii="SimSun" w:hAnsi="SimSun" w:eastAsia="SimSun" w:cs="Times New Roman"/>
          <w:b/>
          <w:bCs/>
          <w:sz w:val="28"/>
          <w:szCs w:val="28"/>
          <w:lang w:eastAsia="en-GB"/>
        </w:rPr>
      </w:pPr>
    </w:p>
    <w:p w14:paraId="52A200C5">
      <w:pPr>
        <w:autoSpaceDE w:val="0"/>
        <w:autoSpaceDN w:val="0"/>
        <w:adjustRightInd w:val="0"/>
        <w:spacing w:before="100" w:beforeAutospacing="1" w:after="100" w:afterAutospacing="1" w:line="240" w:lineRule="auto"/>
        <w:outlineLvl w:val="1"/>
        <w:rPr>
          <w:rFonts w:hint="eastAsia" w:ascii="SimSun" w:hAnsi="SimSun" w:eastAsia="SimSun" w:cs="Times New Roman"/>
          <w:b/>
          <w:bCs/>
          <w:sz w:val="28"/>
          <w:szCs w:val="28"/>
          <w:lang w:eastAsia="en-GB"/>
        </w:rPr>
      </w:pPr>
      <w:r>
        <w:rPr>
          <w:rFonts w:hint="eastAsia" w:ascii="SimSun" w:hAnsi="SimSun" w:eastAsia="SimSun" w:cs="Times New Roman"/>
          <w:b/>
          <w:bCs/>
          <w:sz w:val="28"/>
          <w:szCs w:val="28"/>
          <w:lang w:eastAsia="en-GB"/>
        </w:rPr>
        <w:t xml:space="preserve">PART TWO: </w:t>
      </w:r>
      <w:r>
        <w:rPr>
          <w:rFonts w:hint="default" w:ascii="SimSun" w:hAnsi="SimSun" w:eastAsia="SimSun" w:cs="Times New Roman"/>
          <w:b/>
          <w:bCs/>
          <w:sz w:val="28"/>
          <w:szCs w:val="28"/>
          <w:lang w:val="en-US" w:eastAsia="en-GB"/>
        </w:rPr>
        <w:t xml:space="preserve">ACADEMIC &amp; </w:t>
      </w:r>
      <w:r>
        <w:rPr>
          <w:rFonts w:hint="eastAsia" w:ascii="SimSun" w:hAnsi="SimSun" w:eastAsia="SimSun" w:cs="Times New Roman"/>
          <w:b/>
          <w:bCs/>
          <w:sz w:val="28"/>
          <w:szCs w:val="28"/>
          <w:lang w:eastAsia="en-GB"/>
        </w:rPr>
        <w:t>LEARNING</w:t>
      </w:r>
      <w:r>
        <w:rPr>
          <w:rFonts w:hint="default" w:ascii="SimSun" w:hAnsi="SimSun" w:eastAsia="SimSun" w:cs="Times New Roman"/>
          <w:b/>
          <w:bCs/>
          <w:sz w:val="28"/>
          <w:szCs w:val="28"/>
          <w:lang w:val="en-US" w:eastAsia="en-GB"/>
        </w:rPr>
        <w:t xml:space="preserve"> EXECELLENCE, </w:t>
      </w:r>
      <w:r>
        <w:rPr>
          <w:rFonts w:hint="eastAsia" w:ascii="SimSun" w:hAnsi="SimSun" w:eastAsia="SimSun" w:cs="Times New Roman"/>
          <w:b/>
          <w:bCs/>
          <w:sz w:val="28"/>
          <w:szCs w:val="28"/>
          <w:lang w:eastAsia="en-GB"/>
        </w:rPr>
        <w:t>STAFF</w:t>
      </w:r>
      <w:r>
        <w:rPr>
          <w:rFonts w:hint="default" w:ascii="SimSun" w:hAnsi="SimSun" w:eastAsia="SimSun" w:cs="Times New Roman"/>
          <w:b/>
          <w:bCs/>
          <w:sz w:val="28"/>
          <w:szCs w:val="28"/>
          <w:lang w:val="en-US" w:eastAsia="en-GB"/>
        </w:rPr>
        <w:t xml:space="preserve"> </w:t>
      </w:r>
      <w:r>
        <w:rPr>
          <w:rFonts w:hint="eastAsia" w:ascii="SimSun" w:hAnsi="SimSun" w:eastAsia="SimSun" w:cs="Times New Roman"/>
          <w:b/>
          <w:bCs/>
          <w:sz w:val="28"/>
          <w:szCs w:val="28"/>
          <w:lang w:eastAsia="en-GB"/>
        </w:rPr>
        <w:t>AND STUDENT DEVELOPMENT</w:t>
      </w:r>
      <w:bookmarkEnd w:id="9"/>
    </w:p>
    <w:p w14:paraId="2C045691">
      <w:p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The heart of FUL lies in its students and academic programmes. I envision a </w:t>
      </w:r>
      <w:r>
        <w:rPr>
          <w:rFonts w:ascii="SimSun" w:hAnsi="SimSun" w:eastAsia="SimSun" w:cs="Times New Roman"/>
          <w:sz w:val="28"/>
          <w:szCs w:val="28"/>
          <w:lang w:eastAsia="en-GB"/>
        </w:rPr>
        <w:t>university</w:t>
      </w:r>
      <w:r>
        <w:rPr>
          <w:rFonts w:hint="eastAsia" w:ascii="SimSun" w:hAnsi="SimSun" w:eastAsia="SimSun" w:cs="Times New Roman"/>
          <w:sz w:val="28"/>
          <w:szCs w:val="28"/>
          <w:lang w:eastAsia="en-GB"/>
        </w:rPr>
        <w:t xml:space="preserve"> where teaching is </w:t>
      </w:r>
      <w:r>
        <w:rPr>
          <w:rFonts w:hint="eastAsia" w:ascii="SimSun" w:hAnsi="SimSun" w:eastAsia="SimSun" w:cs="Times New Roman"/>
          <w:b/>
          <w:bCs/>
          <w:sz w:val="28"/>
          <w:szCs w:val="28"/>
          <w:lang w:eastAsia="en-GB"/>
        </w:rPr>
        <w:t>competency-driven, student-centred and globally competitive</w:t>
      </w:r>
      <w:r>
        <w:rPr>
          <w:rFonts w:hint="eastAsia" w:ascii="SimSun" w:hAnsi="SimSun" w:eastAsia="SimSun" w:cs="Times New Roman"/>
          <w:sz w:val="28"/>
          <w:szCs w:val="28"/>
          <w:lang w:eastAsia="en-GB"/>
        </w:rPr>
        <w:t>. To this end, I will:</w:t>
      </w:r>
    </w:p>
    <w:p w14:paraId="25F0EDAE">
      <w:pPr>
        <w:widowControl w:val="0"/>
        <w:numPr>
          <w:ilvl w:val="0"/>
          <w:numId w:val="2"/>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Curriclum review aligned with NUC,Idustrial &amp; SDGs </w:t>
      </w:r>
    </w:p>
    <w:p w14:paraId="3D79B9B7">
      <w:pPr>
        <w:widowControl w:val="0"/>
        <w:numPr>
          <w:ilvl w:val="0"/>
          <w:numId w:val="2"/>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Strengthen existing academic programmes and ensure rigorous accreditation processes.</w:t>
      </w:r>
    </w:p>
    <w:p w14:paraId="424DDF9E">
      <w:pPr>
        <w:widowControl w:val="0"/>
        <w:numPr>
          <w:ilvl w:val="0"/>
          <w:numId w:val="2"/>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Postgraduate School Revitalization </w:t>
      </w:r>
    </w:p>
    <w:p w14:paraId="01D66E70">
      <w:pPr>
        <w:widowControl w:val="0"/>
        <w:numPr>
          <w:ilvl w:val="0"/>
          <w:numId w:val="2"/>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Introduce new, market-driven courses in areas such as Artificial Intelligence, Climate Studies, Digital Humanities, Renewable Energy</w:t>
      </w:r>
      <w:r>
        <w:rPr>
          <w:rFonts w:hint="default" w:ascii="SimSun" w:hAnsi="SimSun" w:eastAsia="SimSun" w:cs="Times New Roman"/>
          <w:sz w:val="28"/>
          <w:szCs w:val="28"/>
          <w:lang w:val="en-US" w:eastAsia="en-GB"/>
        </w:rPr>
        <w:t xml:space="preserve">, Global Health, Security Studies  Agriculture </w:t>
      </w:r>
      <w:r>
        <w:rPr>
          <w:rFonts w:hint="eastAsia" w:ascii="SimSun" w:hAnsi="SimSun" w:eastAsia="SimSun" w:cs="Times New Roman"/>
          <w:sz w:val="28"/>
          <w:szCs w:val="28"/>
          <w:lang w:eastAsia="en-GB"/>
        </w:rPr>
        <w:t xml:space="preserve"> and Creative Industries.</w:t>
      </w:r>
    </w:p>
    <w:p w14:paraId="1A5760B5">
      <w:pPr>
        <w:widowControl w:val="0"/>
        <w:numPr>
          <w:ilvl w:val="0"/>
          <w:numId w:val="2"/>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Upgrade </w:t>
      </w:r>
      <w:r>
        <w:rPr>
          <w:rFonts w:hint="default" w:ascii="SimSun" w:hAnsi="SimSun" w:eastAsia="SimSun" w:cs="Times New Roman"/>
          <w:sz w:val="28"/>
          <w:szCs w:val="28"/>
          <w:lang w:val="en-US" w:eastAsia="en-GB"/>
        </w:rPr>
        <w:t>lCassroom</w:t>
      </w:r>
      <w:r>
        <w:rPr>
          <w:rFonts w:hint="eastAsia" w:ascii="SimSun" w:hAnsi="SimSun" w:eastAsia="SimSun" w:cs="Times New Roman"/>
          <w:sz w:val="28"/>
          <w:szCs w:val="28"/>
          <w:lang w:eastAsia="en-GB"/>
        </w:rPr>
        <w:t>,</w:t>
      </w:r>
      <w:r>
        <w:rPr>
          <w:rFonts w:hint="default" w:ascii="SimSun" w:hAnsi="SimSun" w:eastAsia="SimSun" w:cs="Times New Roman"/>
          <w:sz w:val="28"/>
          <w:szCs w:val="28"/>
          <w:lang w:val="en-US" w:eastAsia="en-GB"/>
        </w:rPr>
        <w:t xml:space="preserve"> Theaters, Lavatories  and </w:t>
      </w:r>
      <w:r>
        <w:rPr>
          <w:rFonts w:hint="eastAsia" w:ascii="SimSun" w:hAnsi="SimSun" w:eastAsia="SimSun" w:cs="Times New Roman"/>
          <w:sz w:val="28"/>
          <w:szCs w:val="28"/>
          <w:lang w:eastAsia="en-GB"/>
        </w:rPr>
        <w:t>laboratories</w:t>
      </w:r>
      <w:r>
        <w:rPr>
          <w:rFonts w:hint="default" w:ascii="SimSun" w:hAnsi="SimSun" w:eastAsia="SimSun" w:cs="Times New Roman"/>
          <w:sz w:val="28"/>
          <w:szCs w:val="28"/>
          <w:lang w:val="en-US" w:eastAsia="en-GB"/>
        </w:rPr>
        <w:t xml:space="preserve"> </w:t>
      </w:r>
      <w:r>
        <w:rPr>
          <w:rFonts w:hint="eastAsia" w:ascii="SimSun" w:hAnsi="SimSun" w:eastAsia="SimSun" w:cs="Times New Roman"/>
          <w:sz w:val="28"/>
          <w:szCs w:val="28"/>
          <w:lang w:eastAsia="en-GB"/>
        </w:rPr>
        <w:t>facilities</w:t>
      </w:r>
      <w:r>
        <w:rPr>
          <w:rFonts w:hint="default" w:ascii="SimSun" w:hAnsi="SimSun" w:eastAsia="SimSun" w:cs="Times New Roman"/>
          <w:sz w:val="28"/>
          <w:szCs w:val="28"/>
          <w:lang w:val="en-US" w:eastAsia="en-GB"/>
        </w:rPr>
        <w:t xml:space="preserve"> to improve </w:t>
      </w:r>
      <w:r>
        <w:rPr>
          <w:rFonts w:hint="eastAsia" w:ascii="SimSun" w:hAnsi="SimSun" w:eastAsia="SimSun" w:cs="Times New Roman"/>
          <w:sz w:val="28"/>
          <w:szCs w:val="28"/>
          <w:lang w:eastAsia="en-GB"/>
        </w:rPr>
        <w:t>learning and research-led teaching.</w:t>
      </w:r>
    </w:p>
    <w:p w14:paraId="2525C511">
      <w:pPr>
        <w:widowControl w:val="0"/>
        <w:numPr>
          <w:ilvl w:val="0"/>
          <w:numId w:val="2"/>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Institutionalize mentorship programmes for staff and students to prepare them for research, innovation, leadership, entrepreneurship and civic responsibility.</w:t>
      </w:r>
    </w:p>
    <w:p w14:paraId="3505E854">
      <w:pPr>
        <w:widowControl w:val="0"/>
        <w:numPr>
          <w:ilvl w:val="0"/>
          <w:numId w:val="2"/>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Expand staff and student support services, including counselling, career development, entrepreneurship and leadership training</w:t>
      </w:r>
      <w:r>
        <w:rPr>
          <w:rFonts w:hint="default" w:ascii="SimSun" w:hAnsi="SimSun" w:eastAsia="SimSun" w:cs="Times New Roman"/>
          <w:sz w:val="28"/>
          <w:szCs w:val="28"/>
          <w:lang w:val="en-US" w:eastAsia="en-GB"/>
        </w:rPr>
        <w:t xml:space="preserve"> </w:t>
      </w:r>
    </w:p>
    <w:p w14:paraId="3EAEBF79">
      <w:pPr>
        <w:widowControl w:val="0"/>
        <w:numPr>
          <w:ilvl w:val="0"/>
          <w:numId w:val="2"/>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Foster a culture of creativity, innovation</w:t>
      </w:r>
      <w:r>
        <w:rPr>
          <w:rFonts w:hint="default" w:ascii="SimSun" w:hAnsi="SimSun" w:eastAsia="SimSun" w:cs="Times New Roman"/>
          <w:sz w:val="28"/>
          <w:szCs w:val="28"/>
          <w:lang w:val="en-US" w:eastAsia="en-GB"/>
        </w:rPr>
        <w:t xml:space="preserve"> </w:t>
      </w:r>
      <w:r>
        <w:rPr>
          <w:rFonts w:hint="eastAsia" w:ascii="SimSun" w:hAnsi="SimSun" w:eastAsia="SimSun" w:cs="Times New Roman"/>
          <w:sz w:val="28"/>
          <w:szCs w:val="28"/>
          <w:lang w:eastAsia="en-GB"/>
        </w:rPr>
        <w:t>and active democratic participation in governance among staff and students.</w:t>
      </w:r>
    </w:p>
    <w:p w14:paraId="50F46072">
      <w:pPr>
        <w:autoSpaceDE w:val="0"/>
        <w:autoSpaceDN w:val="0"/>
        <w:adjustRightInd w:val="0"/>
        <w:spacing w:before="100" w:beforeAutospacing="1" w:after="100" w:afterAutospacing="1" w:line="240" w:lineRule="auto"/>
        <w:outlineLvl w:val="1"/>
        <w:rPr>
          <w:rFonts w:hint="eastAsia" w:ascii="SimSun" w:hAnsi="SimSun" w:eastAsia="SimSun" w:cs="Times New Roman"/>
          <w:b/>
          <w:bCs/>
          <w:sz w:val="28"/>
          <w:szCs w:val="28"/>
          <w:lang w:eastAsia="en-GB"/>
        </w:rPr>
      </w:pPr>
      <w:bookmarkStart w:id="10" w:name="_Toc10328"/>
      <w:r>
        <w:rPr>
          <w:rFonts w:hint="eastAsia" w:ascii="SimSun" w:hAnsi="SimSun" w:eastAsia="SimSun" w:cs="Times New Roman"/>
          <w:b/>
          <w:bCs/>
          <w:sz w:val="28"/>
          <w:szCs w:val="28"/>
          <w:lang w:eastAsia="en-GB"/>
        </w:rPr>
        <w:t>PART THREE: RESEARCH, INNOVATION AND GLOBAL PARTNERSHIPS</w:t>
      </w:r>
      <w:bookmarkEnd w:id="10"/>
    </w:p>
    <w:p w14:paraId="4A24C6F0">
      <w:p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Research visibility and innovation are central to global recognition. My vision is to make FUL a </w:t>
      </w:r>
      <w:r>
        <w:rPr>
          <w:rFonts w:hint="eastAsia" w:ascii="SimSun" w:hAnsi="SimSun" w:eastAsia="SimSun" w:cs="Times New Roman"/>
          <w:b/>
          <w:bCs/>
          <w:sz w:val="28"/>
          <w:szCs w:val="28"/>
          <w:lang w:eastAsia="en-GB"/>
        </w:rPr>
        <w:t>hub for research excellence and innovation</w:t>
      </w:r>
      <w:r>
        <w:rPr>
          <w:rFonts w:hint="eastAsia" w:ascii="SimSun" w:hAnsi="SimSun" w:eastAsia="SimSun" w:cs="Times New Roman"/>
          <w:sz w:val="28"/>
          <w:szCs w:val="28"/>
          <w:lang w:eastAsia="en-GB"/>
        </w:rPr>
        <w:t>. I will:</w:t>
      </w:r>
    </w:p>
    <w:p w14:paraId="7FF0B0A3">
      <w:pPr>
        <w:widowControl w:val="0"/>
        <w:numPr>
          <w:ilvl w:val="0"/>
          <w:numId w:val="3"/>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Establish Centres of Excellence in Renewable Energy, Entrepreneurship, Environmental Sustainability and Conflict Resolution.</w:t>
      </w:r>
    </w:p>
    <w:p w14:paraId="4FB55A0B">
      <w:pPr>
        <w:widowControl w:val="0"/>
        <w:numPr>
          <w:ilvl w:val="0"/>
          <w:numId w:val="3"/>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Provide grants, research fellowship</w:t>
      </w:r>
      <w:r>
        <w:rPr>
          <w:rFonts w:hint="default" w:ascii="SimSun" w:hAnsi="SimSun" w:eastAsia="SimSun" w:cs="Times New Roman"/>
          <w:sz w:val="28"/>
          <w:szCs w:val="28"/>
          <w:lang w:val="en-US" w:eastAsia="en-GB"/>
        </w:rPr>
        <w:t>s</w:t>
      </w:r>
      <w:r>
        <w:rPr>
          <w:rFonts w:hint="eastAsia" w:ascii="SimSun" w:hAnsi="SimSun" w:eastAsia="SimSun" w:cs="Times New Roman"/>
          <w:sz w:val="28"/>
          <w:szCs w:val="28"/>
          <w:lang w:eastAsia="en-GB"/>
        </w:rPr>
        <w:t xml:space="preserve"> and conference sponsorships to strengthen research culture among staff and </w:t>
      </w:r>
      <w:r>
        <w:rPr>
          <w:rFonts w:hint="default" w:ascii="SimSun" w:hAnsi="SimSun" w:eastAsia="SimSun" w:cs="Times New Roman"/>
          <w:sz w:val="28"/>
          <w:szCs w:val="28"/>
          <w:lang w:val="en-US" w:eastAsia="en-GB"/>
        </w:rPr>
        <w:t xml:space="preserve">undergraduate and post </w:t>
      </w:r>
      <w:r>
        <w:rPr>
          <w:rFonts w:hint="eastAsia" w:ascii="SimSun" w:hAnsi="SimSun" w:eastAsia="SimSun" w:cs="Times New Roman"/>
          <w:sz w:val="28"/>
          <w:szCs w:val="28"/>
          <w:lang w:eastAsia="en-GB"/>
        </w:rPr>
        <w:t>students.</w:t>
      </w:r>
    </w:p>
    <w:p w14:paraId="7B4C4982">
      <w:pPr>
        <w:widowControl w:val="0"/>
        <w:numPr>
          <w:ilvl w:val="0"/>
          <w:numId w:val="3"/>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Promote interdisciplinary and transdisciplinary research to address local, national and regional challenges.</w:t>
      </w:r>
    </w:p>
    <w:p w14:paraId="38AD078C">
      <w:pPr>
        <w:widowControl w:val="0"/>
        <w:numPr>
          <w:ilvl w:val="0"/>
          <w:numId w:val="3"/>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Expand partnerships with universities in Nigeria and across Africa, Europe and North America for joint degrees, exchange programmes</w:t>
      </w:r>
      <w:r>
        <w:rPr>
          <w:rFonts w:hint="default" w:ascii="SimSun" w:hAnsi="SimSun" w:eastAsia="SimSun" w:cs="Times New Roman"/>
          <w:sz w:val="28"/>
          <w:szCs w:val="28"/>
          <w:lang w:val="en-US" w:eastAsia="en-GB"/>
        </w:rPr>
        <w:t xml:space="preserve"> </w:t>
      </w:r>
      <w:r>
        <w:rPr>
          <w:rFonts w:hint="eastAsia" w:ascii="SimSun" w:hAnsi="SimSun" w:eastAsia="SimSun" w:cs="Times New Roman"/>
          <w:sz w:val="28"/>
          <w:szCs w:val="28"/>
          <w:lang w:eastAsia="en-GB"/>
        </w:rPr>
        <w:t>and collaborative research.</w:t>
      </w:r>
    </w:p>
    <w:p w14:paraId="252684C8">
      <w:pPr>
        <w:widowControl w:val="0"/>
        <w:numPr>
          <w:ilvl w:val="0"/>
          <w:numId w:val="3"/>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Host international academic conferences and symposia, positioning Federal University Lokoja as a destination for intellectual exchange</w:t>
      </w:r>
      <w:r>
        <w:rPr>
          <w:rFonts w:hint="default" w:ascii="SimSun" w:hAnsi="SimSun" w:eastAsia="SimSun" w:cs="Times New Roman"/>
          <w:sz w:val="28"/>
          <w:szCs w:val="28"/>
          <w:lang w:val="en-US" w:eastAsia="en-GB"/>
        </w:rPr>
        <w:t>.</w:t>
      </w:r>
    </w:p>
    <w:p w14:paraId="5DF1CD32">
      <w:pPr>
        <w:widowControl w:val="0"/>
        <w:numPr>
          <w:ilvl w:val="0"/>
          <w:numId w:val="3"/>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Extablish a Centre of Executive and Management Innovation Tranning </w:t>
      </w:r>
    </w:p>
    <w:p w14:paraId="6107617F">
      <w:pPr>
        <w:widowControl w:val="0"/>
        <w:numPr>
          <w:ilvl w:val="0"/>
          <w:numId w:val="3"/>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Establish a </w:t>
      </w:r>
      <w:r>
        <w:rPr>
          <w:rFonts w:hint="eastAsia" w:ascii="SimSun" w:hAnsi="SimSun" w:eastAsia="SimSun" w:cs="Times New Roman"/>
          <w:sz w:val="28"/>
          <w:szCs w:val="28"/>
          <w:lang w:eastAsia="en-GB"/>
        </w:rPr>
        <w:t>Centre of Excellence for Leadership Residency.</w:t>
      </w:r>
    </w:p>
    <w:p w14:paraId="73342498">
      <w:pPr>
        <w:widowControl w:val="0"/>
        <w:numPr>
          <w:ilvl w:val="0"/>
          <w:numId w:val="3"/>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Establish an Innovation and Entrepreneurship Hub anchored around the solar farm to attract industry partnership and collaboration and incubate staff and student-led startups.</w:t>
      </w:r>
    </w:p>
    <w:p w14:paraId="326CC4CB">
      <w:pPr>
        <w:autoSpaceDE w:val="0"/>
        <w:autoSpaceDN w:val="0"/>
        <w:adjustRightInd w:val="0"/>
        <w:spacing w:before="100" w:beforeAutospacing="1" w:after="100" w:afterAutospacing="1" w:line="240" w:lineRule="auto"/>
        <w:outlineLvl w:val="1"/>
        <w:rPr>
          <w:rFonts w:hint="default" w:ascii="SimSun" w:hAnsi="SimSun" w:eastAsia="SimSun" w:cs="Times New Roman"/>
          <w:b/>
          <w:bCs/>
          <w:sz w:val="28"/>
          <w:szCs w:val="28"/>
          <w:lang w:val="en-US" w:eastAsia="en-GB"/>
        </w:rPr>
      </w:pPr>
      <w:bookmarkStart w:id="11" w:name="_Toc29690"/>
      <w:r>
        <w:rPr>
          <w:rFonts w:hint="eastAsia" w:ascii="SimSun" w:hAnsi="SimSun" w:eastAsia="SimSun" w:cs="Times New Roman"/>
          <w:b/>
          <w:bCs/>
          <w:sz w:val="28"/>
          <w:szCs w:val="28"/>
          <w:lang w:eastAsia="en-GB"/>
        </w:rPr>
        <w:t>PART FOUR: INFRASTRUCTURE, ICT AND COMMUNITY</w:t>
      </w:r>
      <w:r>
        <w:rPr>
          <w:rFonts w:hint="default" w:ascii="SimSun" w:hAnsi="SimSun" w:eastAsia="SimSun" w:cs="Times New Roman"/>
          <w:b/>
          <w:bCs/>
          <w:sz w:val="28"/>
          <w:szCs w:val="28"/>
          <w:lang w:val="en-US" w:eastAsia="en-GB"/>
        </w:rPr>
        <w:t xml:space="preserve"> </w:t>
      </w:r>
      <w:r>
        <w:rPr>
          <w:rFonts w:hint="eastAsia" w:ascii="SimSun" w:hAnsi="SimSun" w:eastAsia="SimSun" w:cs="Times New Roman"/>
          <w:b/>
          <w:bCs/>
          <w:sz w:val="28"/>
          <w:szCs w:val="28"/>
          <w:lang w:eastAsia="en-GB"/>
        </w:rPr>
        <w:t>ENGAGEMENT</w:t>
      </w:r>
      <w:bookmarkEnd w:id="11"/>
      <w:r>
        <w:rPr>
          <w:rFonts w:hint="default" w:ascii="SimSun" w:hAnsi="SimSun" w:eastAsia="SimSun" w:cs="Times New Roman"/>
          <w:b/>
          <w:bCs/>
          <w:sz w:val="28"/>
          <w:szCs w:val="28"/>
          <w:lang w:val="en-US" w:eastAsia="en-GB"/>
        </w:rPr>
        <w:t xml:space="preserve">/EXTERNAL RELATION </w:t>
      </w:r>
    </w:p>
    <w:p w14:paraId="11C6770A">
      <w:p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Infrastructure and community relevance are essential for institutional growth. My plan is to:</w:t>
      </w:r>
    </w:p>
    <w:p w14:paraId="05D18591">
      <w:pPr>
        <w:widowControl w:val="0"/>
        <w:numPr>
          <w:ilvl w:val="0"/>
          <w:numId w:val="4"/>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Accelerate the infrastructural development of the </w:t>
      </w:r>
      <w:r>
        <w:rPr>
          <w:rFonts w:ascii="SimSun" w:hAnsi="SimSun" w:eastAsia="SimSun" w:cs="Times New Roman"/>
          <w:sz w:val="28"/>
          <w:szCs w:val="28"/>
          <w:lang w:eastAsia="en-GB"/>
        </w:rPr>
        <w:t>University</w:t>
      </w:r>
      <w:r>
        <w:rPr>
          <w:rFonts w:hint="eastAsia" w:ascii="SimSun" w:hAnsi="SimSun" w:eastAsia="SimSun" w:cs="Times New Roman"/>
          <w:sz w:val="28"/>
          <w:szCs w:val="28"/>
          <w:lang w:eastAsia="en-GB"/>
        </w:rPr>
        <w:t>’</w:t>
      </w:r>
      <w:r>
        <w:rPr>
          <w:rFonts w:ascii="SimSun" w:hAnsi="SimSun" w:eastAsia="SimSun" w:cs="Times New Roman"/>
          <w:sz w:val="28"/>
          <w:szCs w:val="28"/>
          <w:lang w:eastAsia="en-GB"/>
        </w:rPr>
        <w:t>s permanent</w:t>
      </w:r>
      <w:r>
        <w:rPr>
          <w:rFonts w:hint="eastAsia" w:ascii="SimSun" w:hAnsi="SimSun" w:eastAsia="SimSun" w:cs="Times New Roman"/>
          <w:sz w:val="28"/>
          <w:szCs w:val="28"/>
          <w:lang w:eastAsia="en-GB"/>
        </w:rPr>
        <w:t xml:space="preserve"> site, by constructing and upgrading staff offices,  classrooms, laboratories, hostels, and administrative buildings.</w:t>
      </w:r>
    </w:p>
    <w:p w14:paraId="51FDB15D">
      <w:pPr>
        <w:widowControl w:val="0"/>
        <w:numPr>
          <w:ilvl w:val="0"/>
          <w:numId w:val="4"/>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Digitize administrative processes to create a “smart campus” environment.</w:t>
      </w:r>
    </w:p>
    <w:p w14:paraId="55E079DB">
      <w:pPr>
        <w:widowControl w:val="0"/>
        <w:numPr>
          <w:ilvl w:val="0"/>
          <w:numId w:val="4"/>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 Digital Learning Expansion </w:t>
      </w:r>
    </w:p>
    <w:p w14:paraId="2AAC519D">
      <w:pPr>
        <w:widowControl w:val="0"/>
        <w:numPr>
          <w:ilvl w:val="0"/>
          <w:numId w:val="4"/>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Construct an earth dam for sustainable water supply campus-wide and the adjoining communities.</w:t>
      </w:r>
    </w:p>
    <w:p w14:paraId="2FC3CA0E">
      <w:pPr>
        <w:widowControl w:val="0"/>
        <w:numPr>
          <w:ilvl w:val="0"/>
          <w:numId w:val="4"/>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Strengthen community relations through continuous public lectures, outreach programmes, and consultancy services.</w:t>
      </w:r>
    </w:p>
    <w:p w14:paraId="052B42A5">
      <w:pPr>
        <w:widowControl w:val="0"/>
        <w:numPr>
          <w:ilvl w:val="0"/>
          <w:numId w:val="4"/>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Embed sustainability into campus life with initiatives such as waste recycling, tree planting, and climate action programmes.</w:t>
      </w:r>
    </w:p>
    <w:p w14:paraId="67A87953">
      <w:pPr>
        <w:widowControl w:val="0"/>
        <w:numPr>
          <w:ilvl w:val="0"/>
          <w:numId w:val="4"/>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Forge partnerships with industries and government bodies to create</w:t>
      </w:r>
      <w:r>
        <w:rPr>
          <w:rFonts w:hint="default" w:ascii="SimSun" w:hAnsi="SimSun" w:eastAsia="SimSun" w:cs="Times New Roman"/>
          <w:sz w:val="28"/>
          <w:szCs w:val="28"/>
          <w:lang w:val="en-US" w:eastAsia="en-GB"/>
        </w:rPr>
        <w:t xml:space="preserve"> endowments,</w:t>
      </w:r>
      <w:r>
        <w:rPr>
          <w:rFonts w:hint="eastAsia" w:ascii="SimSun" w:hAnsi="SimSun" w:eastAsia="SimSun" w:cs="Times New Roman"/>
          <w:sz w:val="28"/>
          <w:szCs w:val="28"/>
          <w:lang w:eastAsia="en-GB"/>
        </w:rPr>
        <w:t>internship and employment opportunities for students.</w:t>
      </w:r>
    </w:p>
    <w:p w14:paraId="71E4E156">
      <w:pPr>
        <w:widowControl w:val="0"/>
        <w:numPr>
          <w:ilvl w:val="0"/>
          <w:numId w:val="4"/>
        </w:numPr>
        <w:autoSpaceDE w:val="0"/>
        <w:autoSpaceDN w:val="0"/>
        <w:adjustRightInd w:val="0"/>
        <w:spacing w:before="100" w:beforeAutospacing="1" w:after="100" w:afterAutospacing="1" w:line="240" w:lineRule="auto"/>
        <w:rPr>
          <w:rFonts w:hint="eastAsia" w:ascii="SimSun" w:hAnsi="SimSun" w:eastAsia="SimSun" w:cs="Times New Roman"/>
          <w:sz w:val="28"/>
          <w:szCs w:val="28"/>
          <w:lang w:eastAsia="en-GB"/>
        </w:rPr>
      </w:pPr>
    </w:p>
    <w:p w14:paraId="454346A2">
      <w:pPr>
        <w:autoSpaceDE w:val="0"/>
        <w:autoSpaceDN w:val="0"/>
        <w:adjustRightInd w:val="0"/>
        <w:spacing w:after="0" w:line="240" w:lineRule="auto"/>
        <w:rPr>
          <w:rFonts w:hint="default" w:ascii="SimSun" w:hAnsi="SimSun" w:eastAsia="SimSun" w:cs="Times New Roman"/>
          <w:b/>
          <w:bCs/>
          <w:sz w:val="28"/>
          <w:szCs w:val="28"/>
          <w:lang w:val="en-US" w:eastAsia="en-GB"/>
        </w:rPr>
      </w:pPr>
      <w:r>
        <w:rPr>
          <w:rFonts w:hint="eastAsia" w:ascii="SimSun" w:hAnsi="SimSun" w:eastAsia="SimSun" w:cs="Times New Roman"/>
          <w:b/>
          <w:bCs/>
          <w:sz w:val="28"/>
          <w:szCs w:val="28"/>
          <w:lang w:eastAsia="en-GB"/>
        </w:rPr>
        <w:t>PART FIVE: STAFF</w:t>
      </w:r>
      <w:r>
        <w:rPr>
          <w:rFonts w:hint="default" w:ascii="SimSun" w:hAnsi="SimSun" w:eastAsia="SimSun" w:cs="Times New Roman"/>
          <w:b/>
          <w:bCs/>
          <w:sz w:val="28"/>
          <w:szCs w:val="28"/>
          <w:lang w:val="en-US" w:eastAsia="en-GB"/>
        </w:rPr>
        <w:t xml:space="preserve"> &amp;</w:t>
      </w:r>
      <w:r>
        <w:rPr>
          <w:rFonts w:hint="eastAsia" w:ascii="SimSun" w:hAnsi="SimSun" w:eastAsia="SimSun" w:cs="Times New Roman"/>
          <w:b/>
          <w:bCs/>
          <w:sz w:val="28"/>
          <w:szCs w:val="28"/>
          <w:lang w:eastAsia="en-GB"/>
        </w:rPr>
        <w:t xml:space="preserve"> STUDENT WELFARE</w:t>
      </w:r>
      <w:r>
        <w:rPr>
          <w:rFonts w:hint="default" w:ascii="SimSun" w:hAnsi="SimSun" w:eastAsia="SimSun" w:cs="Times New Roman"/>
          <w:b/>
          <w:bCs/>
          <w:sz w:val="28"/>
          <w:szCs w:val="28"/>
          <w:lang w:val="en-US" w:eastAsia="en-GB"/>
        </w:rPr>
        <w:t xml:space="preserve"> and SECURITY </w:t>
      </w:r>
    </w:p>
    <w:p w14:paraId="40F99AC1">
      <w:pPr>
        <w:widowControl w:val="0"/>
        <w:numPr>
          <w:ilvl w:val="0"/>
          <w:numId w:val="5"/>
        </w:numPr>
        <w:autoSpaceDE w:val="0"/>
        <w:autoSpaceDN w:val="0"/>
        <w:adjustRightInd w:val="0"/>
        <w:spacing w:after="0"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Initiate </w:t>
      </w:r>
      <w:r>
        <w:rPr>
          <w:rFonts w:hint="default" w:ascii="SimSun" w:hAnsi="SimSun" w:eastAsia="SimSun" w:cs="Times New Roman"/>
          <w:sz w:val="28"/>
          <w:szCs w:val="28"/>
          <w:lang w:val="en-US" w:eastAsia="en-GB"/>
        </w:rPr>
        <w:t xml:space="preserve"> a PPP model for near/</w:t>
      </w:r>
      <w:r>
        <w:rPr>
          <w:rFonts w:hint="eastAsia" w:ascii="SimSun" w:hAnsi="SimSun" w:eastAsia="SimSun" w:cs="Times New Roman"/>
          <w:sz w:val="28"/>
          <w:szCs w:val="28"/>
          <w:lang w:eastAsia="en-GB"/>
        </w:rPr>
        <w:t>on-campus staff residency.</w:t>
      </w:r>
    </w:p>
    <w:p w14:paraId="23AB5F58">
      <w:pPr>
        <w:widowControl w:val="0"/>
        <w:numPr>
          <w:ilvl w:val="0"/>
          <w:numId w:val="5"/>
        </w:numPr>
        <w:autoSpaceDE w:val="0"/>
        <w:autoSpaceDN w:val="0"/>
        <w:adjustRightInd w:val="0"/>
        <w:spacing w:after="0"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Provide additional standard hostels for at least 50% of the students’ population.</w:t>
      </w:r>
    </w:p>
    <w:p w14:paraId="1679EF6E">
      <w:pPr>
        <w:widowControl w:val="0"/>
        <w:numPr>
          <w:ilvl w:val="0"/>
          <w:numId w:val="5"/>
        </w:numPr>
        <w:autoSpaceDE w:val="0"/>
        <w:autoSpaceDN w:val="0"/>
        <w:adjustRightInd w:val="0"/>
        <w:spacing w:after="0" w:line="240" w:lineRule="auto"/>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Construct starndard hotel in the Federal Teaching Hospital for Medical Students </w:t>
      </w:r>
    </w:p>
    <w:p w14:paraId="5D75DB3E">
      <w:pPr>
        <w:widowControl w:val="0"/>
        <w:numPr>
          <w:ilvl w:val="0"/>
          <w:numId w:val="5"/>
        </w:numPr>
        <w:autoSpaceDE w:val="0"/>
        <w:autoSpaceDN w:val="0"/>
        <w:adjustRightInd w:val="0"/>
        <w:spacing w:after="0"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Provide accessible </w:t>
      </w:r>
      <w:r>
        <w:rPr>
          <w:rFonts w:hint="default" w:ascii="SimSun" w:hAnsi="SimSun" w:eastAsia="SimSun" w:cs="Times New Roman"/>
          <w:sz w:val="28"/>
          <w:szCs w:val="28"/>
          <w:lang w:val="en-US" w:eastAsia="en-GB"/>
        </w:rPr>
        <w:t xml:space="preserve">PPP Models for </w:t>
      </w:r>
      <w:r>
        <w:rPr>
          <w:rFonts w:hint="eastAsia" w:ascii="SimSun" w:hAnsi="SimSun" w:eastAsia="SimSun" w:cs="Times New Roman"/>
          <w:sz w:val="28"/>
          <w:szCs w:val="28"/>
          <w:lang w:eastAsia="en-GB"/>
        </w:rPr>
        <w:t>standard mini marts for students and staff.</w:t>
      </w:r>
    </w:p>
    <w:p w14:paraId="0D68BDB5">
      <w:pPr>
        <w:widowControl w:val="0"/>
        <w:numPr>
          <w:ilvl w:val="0"/>
          <w:numId w:val="5"/>
        </w:numPr>
        <w:autoSpaceDE w:val="0"/>
        <w:autoSpaceDN w:val="0"/>
        <w:adjustRightInd w:val="0"/>
        <w:spacing w:after="0" w:line="240" w:lineRule="auto"/>
        <w:rPr>
          <w:rFonts w:hint="eastAsia" w:ascii="SimSun" w:hAnsi="SimSun" w:eastAsia="SimSun" w:cs="Times New Roman"/>
          <w:sz w:val="28"/>
          <w:szCs w:val="28"/>
          <w:lang w:eastAsia="en-GB"/>
        </w:rPr>
      </w:pPr>
      <w:r>
        <w:rPr>
          <w:rFonts w:hint="eastAsia" w:ascii="SimSun" w:hAnsi="SimSun" w:eastAsia="SimSun" w:cs="Times New Roman"/>
          <w:sz w:val="28"/>
          <w:szCs w:val="28"/>
          <w:lang w:eastAsia="en-GB"/>
        </w:rPr>
        <w:t xml:space="preserve">Partner with the private sector and government agencies for the supply of vehicles for staff and </w:t>
      </w:r>
      <w:r>
        <w:rPr>
          <w:rFonts w:ascii="SimSun" w:hAnsi="SimSun" w:eastAsia="SimSun" w:cs="Times New Roman"/>
          <w:sz w:val="28"/>
          <w:szCs w:val="28"/>
          <w:lang w:eastAsia="en-GB"/>
        </w:rPr>
        <w:t>students’</w:t>
      </w:r>
      <w:r>
        <w:rPr>
          <w:rFonts w:hint="eastAsia" w:ascii="SimSun" w:hAnsi="SimSun" w:eastAsia="SimSun" w:cs="Times New Roman"/>
          <w:sz w:val="28"/>
          <w:szCs w:val="28"/>
          <w:lang w:eastAsia="en-GB"/>
        </w:rPr>
        <w:t xml:space="preserve"> inte</w:t>
      </w:r>
      <w:r>
        <w:rPr>
          <w:rFonts w:ascii="SimSun" w:hAnsi="SimSun" w:eastAsia="SimSun" w:cs="Times New Roman"/>
          <w:sz w:val="28"/>
          <w:szCs w:val="28"/>
          <w:lang w:eastAsia="en-GB"/>
        </w:rPr>
        <w:t>r</w:t>
      </w:r>
      <w:r>
        <w:rPr>
          <w:rFonts w:hint="eastAsia" w:ascii="SimSun" w:hAnsi="SimSun" w:eastAsia="SimSun" w:cs="Times New Roman"/>
          <w:sz w:val="28"/>
          <w:szCs w:val="28"/>
          <w:lang w:eastAsia="en-GB"/>
        </w:rPr>
        <w:t>-campus transportation.</w:t>
      </w:r>
    </w:p>
    <w:p w14:paraId="12571F4A">
      <w:pPr>
        <w:widowControl w:val="0"/>
        <w:numPr>
          <w:ilvl w:val="0"/>
          <w:numId w:val="5"/>
        </w:numPr>
        <w:autoSpaceDE w:val="0"/>
        <w:autoSpaceDN w:val="0"/>
        <w:adjustRightInd w:val="0"/>
        <w:spacing w:after="0" w:line="240" w:lineRule="auto"/>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Establish a univeisity security Architecure </w:t>
      </w:r>
    </w:p>
    <w:p w14:paraId="35A4D180">
      <w:pPr>
        <w:widowControl w:val="0"/>
        <w:numPr>
          <w:ilvl w:val="0"/>
          <w:numId w:val="5"/>
        </w:numPr>
        <w:autoSpaceDE w:val="0"/>
        <w:autoSpaceDN w:val="0"/>
        <w:adjustRightInd w:val="0"/>
        <w:spacing w:after="0" w:line="240" w:lineRule="auto"/>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Embed security into infrastructure &amp; Master planning </w:t>
      </w:r>
    </w:p>
    <w:p w14:paraId="3938EDD9">
      <w:pPr>
        <w:widowControl w:val="0"/>
        <w:numPr>
          <w:ilvl w:val="0"/>
          <w:numId w:val="5"/>
        </w:numPr>
        <w:autoSpaceDE w:val="0"/>
        <w:autoSpaceDN w:val="0"/>
        <w:adjustRightInd w:val="0"/>
        <w:spacing w:after="0" w:line="240" w:lineRule="auto"/>
        <w:rPr>
          <w:rFonts w:hint="eastAsia" w:ascii="SimSun" w:hAnsi="SimSun" w:eastAsia="SimSun" w:cs="Times New Roman"/>
          <w:sz w:val="28"/>
          <w:szCs w:val="28"/>
          <w:lang w:eastAsia="en-GB"/>
        </w:rPr>
      </w:pPr>
      <w:r>
        <w:rPr>
          <w:rFonts w:hint="default" w:ascii="SimSun" w:hAnsi="SimSun" w:eastAsia="SimSun" w:cs="Times New Roman"/>
          <w:sz w:val="28"/>
          <w:szCs w:val="28"/>
          <w:lang w:val="en-US" w:eastAsia="en-GB"/>
        </w:rPr>
        <w:t xml:space="preserve">Bulid intelligence - led campus </w:t>
      </w:r>
    </w:p>
    <w:p w14:paraId="0642769D">
      <w:pPr>
        <w:rPr>
          <w:rFonts w:ascii="SimSun" w:hAnsi="SimSun" w:eastAsia="SimSun"/>
          <w:sz w:val="24"/>
          <w:szCs w:val="24"/>
        </w:rPr>
      </w:pPr>
    </w:p>
    <w:p w14:paraId="3ECD1ECE">
      <w:pPr>
        <w:rPr>
          <w:rFonts w:ascii="SimSun" w:hAnsi="SimSun" w:eastAsia="SimSun"/>
          <w:sz w:val="24"/>
          <w:szCs w:val="24"/>
        </w:rPr>
      </w:pPr>
    </w:p>
    <w:p w14:paraId="5E23A066">
      <w:pPr>
        <w:rPr>
          <w:rFonts w:ascii="SimSun" w:hAnsi="SimSun" w:eastAsia="SimSun"/>
          <w:sz w:val="24"/>
          <w:szCs w:val="24"/>
        </w:rPr>
      </w:pPr>
    </w:p>
    <w:p w14:paraId="17CD418C">
      <w:pPr>
        <w:rPr>
          <w:rFonts w:ascii="SimSun" w:hAnsi="SimSun" w:eastAsia="SimSun"/>
          <w:sz w:val="24"/>
          <w:szCs w:val="24"/>
        </w:rPr>
      </w:pPr>
    </w:p>
    <w:p w14:paraId="38585F31">
      <w:pPr>
        <w:rPr>
          <w:rFonts w:ascii="SimSun" w:hAnsi="SimSun" w:eastAsia="SimSun"/>
          <w:sz w:val="24"/>
          <w:szCs w:val="24"/>
        </w:rPr>
      </w:pPr>
    </w:p>
    <w:p w14:paraId="3148B1A5">
      <w:pPr>
        <w:rPr>
          <w:rFonts w:ascii="SimSun" w:hAnsi="SimSun" w:eastAsia="SimSun"/>
          <w:sz w:val="24"/>
          <w:szCs w:val="24"/>
        </w:rPr>
      </w:pPr>
    </w:p>
    <w:p w14:paraId="4CD3CE6C">
      <w:pPr>
        <w:rPr>
          <w:rFonts w:ascii="SimSun" w:hAnsi="SimSun" w:eastAsia="SimSun"/>
          <w:sz w:val="24"/>
          <w:szCs w:val="24"/>
        </w:rPr>
      </w:pPr>
    </w:p>
    <w:p w14:paraId="74A2EA03">
      <w:pPr>
        <w:rPr>
          <w:rFonts w:ascii="SimSun" w:hAnsi="SimSun" w:eastAsia="SimSun"/>
          <w:sz w:val="24"/>
          <w:szCs w:val="24"/>
        </w:rPr>
      </w:pPr>
    </w:p>
    <w:p w14:paraId="28F85AB2">
      <w:pPr>
        <w:rPr>
          <w:rFonts w:ascii="SimSun" w:hAnsi="SimSun" w:eastAsia="SimSun"/>
          <w:sz w:val="24"/>
          <w:szCs w:val="24"/>
        </w:rPr>
      </w:pPr>
    </w:p>
    <w:p w14:paraId="5ABC1DD4">
      <w:pPr>
        <w:rPr>
          <w:rFonts w:ascii="SimSun" w:hAnsi="SimSun" w:eastAsia="SimSun"/>
          <w:sz w:val="24"/>
          <w:szCs w:val="24"/>
        </w:rPr>
      </w:pPr>
    </w:p>
    <w:p w14:paraId="7DD12C92">
      <w:pPr>
        <w:rPr>
          <w:rFonts w:ascii="SimSun" w:hAnsi="SimSun" w:eastAsia="SimSun"/>
          <w:sz w:val="24"/>
          <w:szCs w:val="24"/>
        </w:rPr>
      </w:pPr>
    </w:p>
    <w:p w14:paraId="5CA7E615">
      <w:pPr>
        <w:rPr>
          <w:rFonts w:ascii="SimSun" w:hAnsi="SimSun" w:eastAsia="SimSun"/>
          <w:sz w:val="24"/>
          <w:szCs w:val="24"/>
        </w:rPr>
      </w:pPr>
    </w:p>
    <w:p w14:paraId="6F24FDE1">
      <w:pPr>
        <w:rPr>
          <w:rFonts w:ascii="SimSun" w:hAnsi="SimSun" w:eastAsia="SimSun"/>
          <w:sz w:val="24"/>
          <w:szCs w:val="24"/>
        </w:rPr>
      </w:pPr>
    </w:p>
    <w:p w14:paraId="5212A0F6">
      <w:pPr>
        <w:pBdr>
          <w:bottom w:val="single" w:color="4F81BD" w:sz="8" w:space="4"/>
        </w:pBdr>
        <w:spacing w:before="100" w:beforeAutospacing="1" w:after="300" w:line="240" w:lineRule="auto"/>
        <w:contextualSpacing/>
        <w:rPr>
          <w:rFonts w:ascii="SimSun" w:hAnsi="SimSun" w:eastAsia="SimSun" w:cs="Times New Roman"/>
          <w:color w:val="17365D"/>
          <w:spacing w:val="5"/>
          <w:kern w:val="28"/>
          <w:sz w:val="32"/>
          <w:szCs w:val="32"/>
          <w:lang w:eastAsia="en-GB"/>
        </w:rPr>
      </w:pPr>
    </w:p>
    <w:p w14:paraId="4EA5AACC">
      <w:pPr>
        <w:pBdr>
          <w:bottom w:val="single" w:color="4F81BD" w:sz="8" w:space="4"/>
        </w:pBdr>
        <w:spacing w:before="100" w:beforeAutospacing="1" w:after="300" w:line="240" w:lineRule="auto"/>
        <w:contextualSpacing/>
        <w:rPr>
          <w:rFonts w:ascii="SimSun" w:hAnsi="SimSun" w:eastAsia="SimSun" w:cs="Times New Roman"/>
          <w:color w:val="17365D"/>
          <w:spacing w:val="5"/>
          <w:kern w:val="28"/>
          <w:sz w:val="32"/>
          <w:szCs w:val="32"/>
          <w:lang w:eastAsia="en-GB"/>
        </w:rPr>
      </w:pPr>
    </w:p>
    <w:p w14:paraId="4F980711">
      <w:pPr>
        <w:pBdr>
          <w:bottom w:val="single" w:color="4F81BD" w:sz="8" w:space="4"/>
        </w:pBdr>
        <w:spacing w:before="100" w:beforeAutospacing="1" w:after="300" w:line="240" w:lineRule="auto"/>
        <w:contextualSpacing/>
        <w:rPr>
          <w:rFonts w:ascii="SimSun" w:hAnsi="SimSun" w:eastAsia="SimSun" w:cs="Times New Roman"/>
          <w:color w:val="17365D"/>
          <w:spacing w:val="5"/>
          <w:kern w:val="28"/>
          <w:sz w:val="32"/>
          <w:szCs w:val="32"/>
          <w:lang w:eastAsia="en-GB"/>
        </w:rPr>
      </w:pPr>
    </w:p>
    <w:p w14:paraId="7781465E">
      <w:pPr>
        <w:pBdr>
          <w:bottom w:val="single" w:color="4F81BD" w:sz="8" w:space="4"/>
        </w:pBdr>
        <w:spacing w:before="100" w:beforeAutospacing="1" w:after="300" w:line="240" w:lineRule="auto"/>
        <w:contextualSpacing/>
        <w:rPr>
          <w:rFonts w:ascii="SimSun" w:hAnsi="SimSun" w:eastAsia="SimSun" w:cs="Times New Roman"/>
          <w:color w:val="17365D"/>
          <w:spacing w:val="5"/>
          <w:kern w:val="28"/>
          <w:sz w:val="32"/>
          <w:szCs w:val="32"/>
          <w:lang w:eastAsia="en-GB"/>
        </w:rPr>
      </w:pPr>
    </w:p>
    <w:p w14:paraId="792C983F">
      <w:pPr>
        <w:pBdr>
          <w:bottom w:val="single" w:color="4F81BD" w:sz="8" w:space="4"/>
        </w:pBdr>
        <w:spacing w:before="100" w:beforeAutospacing="1" w:after="300" w:line="240" w:lineRule="auto"/>
        <w:contextualSpacing/>
        <w:rPr>
          <w:rFonts w:ascii="SimSun" w:hAnsi="SimSun" w:eastAsia="SimSun" w:cs="Times New Roman"/>
          <w:color w:val="17365D"/>
          <w:spacing w:val="5"/>
          <w:kern w:val="28"/>
          <w:sz w:val="32"/>
          <w:szCs w:val="32"/>
          <w:lang w:eastAsia="en-GB"/>
        </w:rPr>
      </w:pPr>
      <w:r>
        <w:rPr>
          <w:rFonts w:ascii="SimSun" w:hAnsi="SimSun" w:eastAsia="SimSun" w:cs="Times New Roman"/>
          <w:color w:val="17365D"/>
          <w:spacing w:val="5"/>
          <w:kern w:val="28"/>
          <w:sz w:val="32"/>
          <w:szCs w:val="32"/>
          <w:lang w:eastAsia="en-GB"/>
        </w:rPr>
        <w:t>FEDERAL UNIVERSITY LOKOJA</w:t>
      </w:r>
      <w:r>
        <w:rPr>
          <w:rFonts w:ascii="SimSun" w:hAnsi="SimSun" w:eastAsia="SimSun" w:cs="Times New Roman"/>
          <w:color w:val="17365D"/>
          <w:spacing w:val="5"/>
          <w:kern w:val="28"/>
          <w:sz w:val="32"/>
          <w:szCs w:val="32"/>
          <w:lang w:eastAsia="en-GB"/>
        </w:rPr>
        <w:br w:type="textWrapping"/>
      </w:r>
      <w:r>
        <w:rPr>
          <w:rFonts w:ascii="SimSun" w:hAnsi="SimSun" w:eastAsia="SimSun" w:cs="Times New Roman"/>
          <w:color w:val="17365D"/>
          <w:spacing w:val="5"/>
          <w:kern w:val="28"/>
          <w:sz w:val="32"/>
          <w:szCs w:val="32"/>
          <w:lang w:eastAsia="en-GB"/>
        </w:rPr>
        <w:t>ACTION PLAN 2026–2031</w:t>
      </w:r>
    </w:p>
    <w:p w14:paraId="3ED99E4D">
      <w:pPr>
        <w:rPr>
          <w:rFonts w:ascii="SimSun" w:hAnsi="SimSun" w:eastAsia="SimSun"/>
          <w:b/>
          <w:bCs/>
          <w:sz w:val="24"/>
          <w:szCs w:val="24"/>
        </w:rPr>
      </w:pPr>
    </w:p>
    <w:p w14:paraId="3D9ABBBA">
      <w:pPr>
        <w:jc w:val="both"/>
        <w:rPr>
          <w:rFonts w:ascii="SimSun" w:hAnsi="SimSun" w:eastAsia="SimSun"/>
          <w:b/>
          <w:bCs/>
          <w:sz w:val="28"/>
          <w:szCs w:val="28"/>
        </w:rPr>
      </w:pPr>
      <w:r>
        <w:rPr>
          <w:rFonts w:ascii="SimSun" w:hAnsi="SimSun" w:eastAsia="SimSun"/>
          <w:b/>
          <w:bCs/>
          <w:sz w:val="28"/>
          <w:szCs w:val="28"/>
        </w:rPr>
        <w:t xml:space="preserve">Immediate </w:t>
      </w:r>
      <w:r>
        <w:rPr>
          <w:rFonts w:hint="default" w:ascii="SimSun" w:hAnsi="SimSun" w:eastAsia="SimSun"/>
          <w:b/>
          <w:bCs/>
          <w:sz w:val="28"/>
          <w:szCs w:val="28"/>
          <w:lang w:val="en-GB"/>
        </w:rPr>
        <w:t xml:space="preserve">Goal </w:t>
      </w:r>
      <w:r>
        <w:rPr>
          <w:rFonts w:ascii="SimSun" w:hAnsi="SimSun" w:eastAsia="SimSun"/>
          <w:b/>
          <w:bCs/>
          <w:sz w:val="28"/>
          <w:szCs w:val="28"/>
        </w:rPr>
        <w:t xml:space="preserve">(First 100 Days): Stabilization and Projection </w:t>
      </w:r>
    </w:p>
    <w:p w14:paraId="74209A8B">
      <w:pPr>
        <w:jc w:val="both"/>
        <w:rPr>
          <w:rFonts w:ascii="SimSun" w:hAnsi="SimSun" w:eastAsia="SimSun"/>
          <w:sz w:val="28"/>
          <w:szCs w:val="28"/>
        </w:rPr>
      </w:pPr>
      <w:r>
        <w:rPr>
          <w:rFonts w:ascii="SimSun" w:hAnsi="SimSun" w:eastAsia="SimSun"/>
          <w:sz w:val="28"/>
          <w:szCs w:val="28"/>
        </w:rPr>
        <w:t xml:space="preserve">The first 100 days of my administration will focus on confidence-building and laying the foundation for long-term </w:t>
      </w:r>
      <w:bookmarkStart w:id="14" w:name="_GoBack"/>
      <w:bookmarkEnd w:id="14"/>
      <w:r>
        <w:rPr>
          <w:rFonts w:ascii="SimSun" w:hAnsi="SimSun" w:eastAsia="SimSun"/>
          <w:sz w:val="28"/>
          <w:szCs w:val="28"/>
        </w:rPr>
        <w:t>reforms. I will immediately institute transparent governance processes, address pressing student welfare concerns, and initiate consultations with staff, students, alumni, and host communities to foster inclusiveness. Quick-impact projects will send a strong message of seriousness, integrity and direction.</w:t>
      </w:r>
    </w:p>
    <w:tbl>
      <w:tblPr>
        <w:tblStyle w:val="19"/>
        <w:tblpPr w:leftFromText="180" w:rightFromText="180" w:vertAnchor="page" w:horzAnchor="page" w:tblpX="991" w:tblpY="1"/>
        <w:tblW w:w="10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6"/>
        <w:gridCol w:w="3696"/>
        <w:gridCol w:w="1776"/>
        <w:gridCol w:w="1776"/>
        <w:gridCol w:w="1896"/>
      </w:tblGrid>
      <w:tr w14:paraId="4B0A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tcPr>
          <w:p w14:paraId="21D5CDBE">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STRATEGIC PRIORITY</w:t>
            </w:r>
          </w:p>
        </w:tc>
        <w:tc>
          <w:tcPr>
            <w:tcW w:w="3696" w:type="dxa"/>
          </w:tcPr>
          <w:p w14:paraId="2242C69F">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TARGETS &amp; GOALS</w:t>
            </w:r>
          </w:p>
        </w:tc>
        <w:tc>
          <w:tcPr>
            <w:tcW w:w="1776" w:type="dxa"/>
          </w:tcPr>
          <w:p w14:paraId="76CA7802">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 xml:space="preserve">RESPONSIBLE ACTORS </w:t>
            </w:r>
          </w:p>
        </w:tc>
        <w:tc>
          <w:tcPr>
            <w:tcW w:w="1776" w:type="dxa"/>
          </w:tcPr>
          <w:p w14:paraId="506AD20C">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RISKS</w:t>
            </w:r>
          </w:p>
        </w:tc>
        <w:tc>
          <w:tcPr>
            <w:tcW w:w="1896" w:type="dxa"/>
          </w:tcPr>
          <w:p w14:paraId="2D08F0CD">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MITIGATION</w:t>
            </w:r>
          </w:p>
        </w:tc>
      </w:tr>
      <w:tr w14:paraId="6229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tcPr>
          <w:p w14:paraId="726F1B0A">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Governance</w:t>
            </w:r>
          </w:p>
        </w:tc>
        <w:tc>
          <w:tcPr>
            <w:tcW w:w="3696" w:type="dxa"/>
          </w:tcPr>
          <w:p w14:paraId="2B6D4638">
            <w:pPr>
              <w:numPr>
                <w:ilvl w:val="0"/>
                <w:numId w:val="6"/>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Vice Chancellor’s orientation</w:t>
            </w:r>
          </w:p>
          <w:p w14:paraId="1A2BA84A">
            <w:pPr>
              <w:numPr>
                <w:ilvl w:val="0"/>
                <w:numId w:val="6"/>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Community Engagements to:</w:t>
            </w:r>
          </w:p>
          <w:p w14:paraId="17E3DF79">
            <w:pPr>
              <w:numPr>
                <w:ilvl w:val="0"/>
                <w:numId w:val="7"/>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Community leaders, Security agencies.</w:t>
            </w:r>
          </w:p>
          <w:p w14:paraId="1C00EE77">
            <w:pPr>
              <w:numPr>
                <w:ilvl w:val="0"/>
                <w:numId w:val="7"/>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Provosts, Deans, and Directors and HODs </w:t>
            </w:r>
          </w:p>
          <w:p w14:paraId="6AC905F9">
            <w:pPr>
              <w:numPr>
                <w:ilvl w:val="0"/>
                <w:numId w:val="7"/>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Staff and students’ engagements</w:t>
            </w:r>
          </w:p>
          <w:p w14:paraId="3CF70AE2">
            <w:pPr>
              <w:numPr>
                <w:ilvl w:val="0"/>
                <w:numId w:val="7"/>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Administrative staff engagements</w:t>
            </w:r>
          </w:p>
          <w:p w14:paraId="6C694974">
            <w:pPr>
              <w:numPr>
                <w:ilvl w:val="0"/>
                <w:numId w:val="7"/>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Labour and Students’ unions engagements</w:t>
            </w:r>
          </w:p>
          <w:p w14:paraId="1E33E0AD">
            <w:pPr>
              <w:numPr>
                <w:ilvl w:val="0"/>
                <w:numId w:val="7"/>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Engagement with the Management and MDCAN of the Federal Teaching Hospital for proper synergy.</w:t>
            </w:r>
          </w:p>
          <w:p w14:paraId="473F184D">
            <w:pPr>
              <w:numPr>
                <w:ilvl w:val="0"/>
                <w:numId w:val="6"/>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Publish 100-day roadmap; introduce open-door policy; set up VC’s Advisory Council</w:t>
            </w:r>
          </w:p>
        </w:tc>
        <w:tc>
          <w:tcPr>
            <w:tcW w:w="1776" w:type="dxa"/>
          </w:tcPr>
          <w:p w14:paraId="5A94187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Vice Chancellor </w:t>
            </w:r>
          </w:p>
          <w:p w14:paraId="7E7A720D">
            <w:pPr>
              <w:spacing w:after="0" w:line="240" w:lineRule="auto"/>
              <w:rPr>
                <w:rFonts w:ascii="SimSun" w:hAnsi="SimSun" w:eastAsia="SimSun" w:cs="Times New Roman"/>
                <w:kern w:val="2"/>
                <w:sz w:val="24"/>
                <w:szCs w:val="24"/>
                <w:lang w:eastAsia="en-GB"/>
                <w14:ligatures w14:val="standardContextual"/>
              </w:rPr>
            </w:pPr>
          </w:p>
        </w:tc>
        <w:tc>
          <w:tcPr>
            <w:tcW w:w="1776" w:type="dxa"/>
          </w:tcPr>
          <w:p w14:paraId="3A76561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Resistance from entrenched interests</w:t>
            </w:r>
          </w:p>
        </w:tc>
        <w:tc>
          <w:tcPr>
            <w:tcW w:w="1896" w:type="dxa"/>
          </w:tcPr>
          <w:p w14:paraId="68D22D8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Clear communication; inclusive consultation</w:t>
            </w:r>
          </w:p>
        </w:tc>
      </w:tr>
      <w:tr w14:paraId="6D5F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6" w:type="dxa"/>
          </w:tcPr>
          <w:p w14:paraId="7A4CB1C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Students and Staff Welfare </w:t>
            </w:r>
          </w:p>
        </w:tc>
        <w:tc>
          <w:tcPr>
            <w:tcW w:w="3696" w:type="dxa"/>
          </w:tcPr>
          <w:p w14:paraId="6B4CF89B">
            <w:pPr>
              <w:numPr>
                <w:ilvl w:val="0"/>
                <w:numId w:val="8"/>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Immediate repairs of classrooms</w:t>
            </w:r>
          </w:p>
          <w:p w14:paraId="02EA3FEF">
            <w:pPr>
              <w:numPr>
                <w:ilvl w:val="0"/>
                <w:numId w:val="8"/>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Provide industrial boreholes and reticulation of water supply at both campuses. </w:t>
            </w:r>
          </w:p>
          <w:p w14:paraId="6FA35D68">
            <w:pPr>
              <w:numPr>
                <w:ilvl w:val="0"/>
                <w:numId w:val="8"/>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Construct new and renovate existing lavatories for staff and students </w:t>
            </w:r>
          </w:p>
          <w:p w14:paraId="694357B7">
            <w:pPr>
              <w:numPr>
                <w:ilvl w:val="0"/>
                <w:numId w:val="8"/>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Create a functioning welfare committee to assess and address urgent staff needs</w:t>
            </w:r>
          </w:p>
        </w:tc>
        <w:tc>
          <w:tcPr>
            <w:tcW w:w="1776" w:type="dxa"/>
          </w:tcPr>
          <w:p w14:paraId="5788FED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Directorate of Works and Services </w:t>
            </w:r>
          </w:p>
          <w:p w14:paraId="3DA56582">
            <w:pPr>
              <w:spacing w:after="0" w:line="240" w:lineRule="auto"/>
              <w:rPr>
                <w:rFonts w:ascii="SimSun" w:hAnsi="SimSun" w:eastAsia="SimSun" w:cs="Times New Roman"/>
                <w:kern w:val="2"/>
                <w:sz w:val="24"/>
                <w:szCs w:val="24"/>
                <w:lang w:eastAsia="en-GB"/>
                <w14:ligatures w14:val="standardContextual"/>
              </w:rPr>
            </w:pPr>
          </w:p>
          <w:p w14:paraId="0D33F92E">
            <w:pPr>
              <w:spacing w:after="0" w:line="240" w:lineRule="auto"/>
              <w:rPr>
                <w:rFonts w:ascii="SimSun" w:hAnsi="SimSun" w:eastAsia="SimSun" w:cs="Times New Roman"/>
                <w:kern w:val="2"/>
                <w:sz w:val="24"/>
                <w:szCs w:val="24"/>
                <w:lang w:eastAsia="en-GB"/>
                <w14:ligatures w14:val="standardContextual"/>
              </w:rPr>
            </w:pPr>
          </w:p>
          <w:p w14:paraId="1DEB2218">
            <w:pPr>
              <w:spacing w:after="0" w:line="240" w:lineRule="auto"/>
              <w:rPr>
                <w:rFonts w:ascii="SimSun" w:hAnsi="SimSun" w:eastAsia="SimSun" w:cs="Times New Roman"/>
                <w:kern w:val="2"/>
                <w:sz w:val="24"/>
                <w:szCs w:val="24"/>
                <w:lang w:eastAsia="en-GB"/>
                <w14:ligatures w14:val="standardContextual"/>
              </w:rPr>
            </w:pPr>
          </w:p>
          <w:p w14:paraId="6087B80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Staff unions </w:t>
            </w:r>
          </w:p>
        </w:tc>
        <w:tc>
          <w:tcPr>
            <w:tcW w:w="1776" w:type="dxa"/>
          </w:tcPr>
          <w:p w14:paraId="51ABBF0E">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Funding delays</w:t>
            </w:r>
          </w:p>
          <w:p w14:paraId="44CD661C">
            <w:pPr>
              <w:spacing w:after="0" w:line="240" w:lineRule="auto"/>
              <w:rPr>
                <w:rFonts w:ascii="SimSun" w:hAnsi="SimSun" w:eastAsia="SimSun" w:cs="Times New Roman"/>
                <w:kern w:val="2"/>
                <w:sz w:val="24"/>
                <w:szCs w:val="24"/>
                <w:lang w:eastAsia="en-GB"/>
                <w14:ligatures w14:val="standardContextual"/>
              </w:rPr>
            </w:pPr>
          </w:p>
        </w:tc>
        <w:tc>
          <w:tcPr>
            <w:tcW w:w="1896" w:type="dxa"/>
          </w:tcPr>
          <w:p w14:paraId="16D31AD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Mobilize emergency funds.</w:t>
            </w:r>
          </w:p>
          <w:p w14:paraId="3BB9555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Alumni support</w:t>
            </w:r>
          </w:p>
          <w:p w14:paraId="500BBD07">
            <w:pPr>
              <w:spacing w:after="0" w:line="240" w:lineRule="auto"/>
              <w:rPr>
                <w:rFonts w:ascii="SimSun" w:hAnsi="SimSun" w:eastAsia="SimSun" w:cs="Times New Roman"/>
                <w:kern w:val="2"/>
                <w:sz w:val="24"/>
                <w:szCs w:val="24"/>
                <w:lang w:eastAsia="en-GB"/>
                <w14:ligatures w14:val="standardContextual"/>
              </w:rPr>
            </w:pPr>
          </w:p>
        </w:tc>
      </w:tr>
      <w:tr w14:paraId="7ECD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1776" w:type="dxa"/>
          </w:tcPr>
          <w:p w14:paraId="04ED013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Academic Quality</w:t>
            </w:r>
          </w:p>
        </w:tc>
        <w:tc>
          <w:tcPr>
            <w:tcW w:w="3696" w:type="dxa"/>
          </w:tcPr>
          <w:p w14:paraId="13541DE8">
            <w:pPr>
              <w:numPr>
                <w:ilvl w:val="0"/>
                <w:numId w:val="9"/>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Convene Senate retreat to align on vision.</w:t>
            </w:r>
          </w:p>
          <w:p w14:paraId="1D0C03FB">
            <w:pPr>
              <w:numPr>
                <w:ilvl w:val="0"/>
                <w:numId w:val="9"/>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Management retreat. </w:t>
            </w:r>
          </w:p>
          <w:p w14:paraId="71017E96">
            <w:pPr>
              <w:numPr>
                <w:ilvl w:val="0"/>
                <w:numId w:val="9"/>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Review of accreditation gaps by Regulatory Bodies: especially in the College of Health Sciences, Engineering, Pharmacy   etc</w:t>
            </w:r>
          </w:p>
        </w:tc>
        <w:tc>
          <w:tcPr>
            <w:tcW w:w="1776" w:type="dxa"/>
          </w:tcPr>
          <w:p w14:paraId="6162287E">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DVC Academics, Deans</w:t>
            </w:r>
          </w:p>
          <w:p w14:paraId="0DB8481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Registrar </w:t>
            </w:r>
          </w:p>
        </w:tc>
        <w:tc>
          <w:tcPr>
            <w:tcW w:w="1776" w:type="dxa"/>
          </w:tcPr>
          <w:p w14:paraId="71B327F2">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Bureaucratic inertia</w:t>
            </w:r>
          </w:p>
        </w:tc>
        <w:tc>
          <w:tcPr>
            <w:tcW w:w="1896" w:type="dxa"/>
          </w:tcPr>
          <w:p w14:paraId="01105D9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Senate buy-in via transparent consultation</w:t>
            </w:r>
          </w:p>
          <w:p w14:paraId="6BE301E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Management Buy -in.</w:t>
            </w:r>
          </w:p>
        </w:tc>
      </w:tr>
      <w:tr w14:paraId="6443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776" w:type="dxa"/>
          </w:tcPr>
          <w:p w14:paraId="1A8DFD2C">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ICT &amp; Digitization</w:t>
            </w:r>
          </w:p>
        </w:tc>
        <w:tc>
          <w:tcPr>
            <w:tcW w:w="3696" w:type="dxa"/>
          </w:tcPr>
          <w:p w14:paraId="5436383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Enhancement of existing Internet Infrastructure in both campuses  </w:t>
            </w:r>
          </w:p>
          <w:p w14:paraId="3F171E13">
            <w:pPr>
              <w:spacing w:after="0" w:line="240" w:lineRule="auto"/>
              <w:rPr>
                <w:rFonts w:ascii="SimSun" w:hAnsi="SimSun" w:eastAsia="SimSun" w:cs="Times New Roman"/>
                <w:kern w:val="2"/>
                <w:sz w:val="24"/>
                <w:szCs w:val="24"/>
                <w:lang w:eastAsia="en-GB"/>
                <w14:ligatures w14:val="standardContextual"/>
              </w:rPr>
            </w:pPr>
          </w:p>
        </w:tc>
        <w:tc>
          <w:tcPr>
            <w:tcW w:w="1776" w:type="dxa"/>
          </w:tcPr>
          <w:p w14:paraId="74E98A0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ICT Directorate, Bursary</w:t>
            </w:r>
          </w:p>
        </w:tc>
        <w:tc>
          <w:tcPr>
            <w:tcW w:w="1776" w:type="dxa"/>
          </w:tcPr>
          <w:p w14:paraId="3E621C0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technical capacity</w:t>
            </w:r>
          </w:p>
        </w:tc>
        <w:tc>
          <w:tcPr>
            <w:tcW w:w="1896" w:type="dxa"/>
          </w:tcPr>
          <w:p w14:paraId="54DAADA2">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 ICT support</w:t>
            </w:r>
          </w:p>
        </w:tc>
      </w:tr>
      <w:tr w14:paraId="6667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776" w:type="dxa"/>
          </w:tcPr>
          <w:p w14:paraId="1FA6634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Staff Development </w:t>
            </w:r>
          </w:p>
        </w:tc>
        <w:tc>
          <w:tcPr>
            <w:tcW w:w="3696" w:type="dxa"/>
          </w:tcPr>
          <w:p w14:paraId="4D3B4BA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Institutionalise a robust mentorship programme for innovation and global impact in research and grants. </w:t>
            </w:r>
          </w:p>
        </w:tc>
        <w:tc>
          <w:tcPr>
            <w:tcW w:w="1776" w:type="dxa"/>
          </w:tcPr>
          <w:p w14:paraId="76D1E34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6D0877E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DVC Academic </w:t>
            </w:r>
          </w:p>
          <w:p w14:paraId="78EBB3F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Directorate of Research &amp; Linkages </w:t>
            </w:r>
          </w:p>
          <w:p w14:paraId="056545E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Unions </w:t>
            </w:r>
          </w:p>
        </w:tc>
        <w:tc>
          <w:tcPr>
            <w:tcW w:w="1776" w:type="dxa"/>
          </w:tcPr>
          <w:p w14:paraId="1938A4E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Low Capacity of Staff</w:t>
            </w:r>
          </w:p>
          <w:p w14:paraId="2D1A61B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Low International Connection </w:t>
            </w:r>
          </w:p>
        </w:tc>
        <w:tc>
          <w:tcPr>
            <w:tcW w:w="1896" w:type="dxa"/>
          </w:tcPr>
          <w:p w14:paraId="6824A89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Headhunt scholars of proven records in grants, awards and fellowships  </w:t>
            </w:r>
          </w:p>
          <w:p w14:paraId="6164784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Incentivise staff who attract grants, awards, patents, high impact factor journals and fellowships </w:t>
            </w:r>
          </w:p>
        </w:tc>
      </w:tr>
      <w:tr w14:paraId="4B58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776" w:type="dxa"/>
          </w:tcPr>
          <w:p w14:paraId="1ECF15D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Academic Culture </w:t>
            </w:r>
          </w:p>
        </w:tc>
        <w:tc>
          <w:tcPr>
            <w:tcW w:w="3696" w:type="dxa"/>
          </w:tcPr>
          <w:p w14:paraId="09854CE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Entrenching academic culture in line with the shared vision of the University:</w:t>
            </w:r>
          </w:p>
          <w:p w14:paraId="59E3AFBA">
            <w:pPr>
              <w:numPr>
                <w:ilvl w:val="0"/>
                <w:numId w:val="10"/>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Consolidating the University inaugural Lecture series, public lectures &amp; Founder’s Day</w:t>
            </w:r>
          </w:p>
          <w:p w14:paraId="0ED957CD">
            <w:pPr>
              <w:numPr>
                <w:ilvl w:val="0"/>
                <w:numId w:val="10"/>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Introducing a university mantra:</w:t>
            </w:r>
          </w:p>
          <w:p w14:paraId="430A162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FUL: Always above</w:t>
            </w:r>
          </w:p>
          <w:p w14:paraId="7500EFB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FUL: Where Stars Begin</w:t>
            </w:r>
          </w:p>
          <w:p w14:paraId="3FF8607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FUL: Rising with Purpose</w:t>
            </w:r>
          </w:p>
          <w:p w14:paraId="3699CF82">
            <w:pPr>
              <w:numPr>
                <w:ilvl w:val="0"/>
                <w:numId w:val="10"/>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Strengthening Faculty and departmental seminars.</w:t>
            </w:r>
          </w:p>
          <w:p w14:paraId="45BA87FE">
            <w:pPr>
              <w:numPr>
                <w:ilvl w:val="0"/>
                <w:numId w:val="10"/>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Strengthening international and National conferences </w:t>
            </w:r>
          </w:p>
          <w:p w14:paraId="1FFFE5FB">
            <w:pPr>
              <w:numPr>
                <w:ilvl w:val="0"/>
                <w:numId w:val="10"/>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Institutionalisation of Interfaculty Academic Debates </w:t>
            </w:r>
          </w:p>
        </w:tc>
        <w:tc>
          <w:tcPr>
            <w:tcW w:w="1776" w:type="dxa"/>
          </w:tcPr>
          <w:p w14:paraId="3726855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5BD5DBBA">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Ceremonials Committee Deans </w:t>
            </w:r>
          </w:p>
        </w:tc>
        <w:tc>
          <w:tcPr>
            <w:tcW w:w="1776" w:type="dxa"/>
          </w:tcPr>
          <w:p w14:paraId="365B643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Lethargy</w:t>
            </w:r>
          </w:p>
        </w:tc>
        <w:tc>
          <w:tcPr>
            <w:tcW w:w="1896" w:type="dxa"/>
          </w:tcPr>
          <w:p w14:paraId="6B2025D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Stakeholders Buy-in </w:t>
            </w:r>
          </w:p>
        </w:tc>
      </w:tr>
      <w:tr w14:paraId="3132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776" w:type="dxa"/>
          </w:tcPr>
          <w:p w14:paraId="18AAE8E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Environmental </w:t>
            </w:r>
          </w:p>
        </w:tc>
        <w:tc>
          <w:tcPr>
            <w:tcW w:w="3696" w:type="dxa"/>
          </w:tcPr>
          <w:p w14:paraId="6FB4C95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Immediate cleaning and clearing of the Felele university environment </w:t>
            </w:r>
          </w:p>
        </w:tc>
        <w:tc>
          <w:tcPr>
            <w:tcW w:w="1776" w:type="dxa"/>
          </w:tcPr>
          <w:p w14:paraId="059C108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works and Services</w:t>
            </w:r>
          </w:p>
          <w:p w14:paraId="4F31E3E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Deans </w:t>
            </w:r>
          </w:p>
          <w:p w14:paraId="47FFFF5C">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Student Union</w:t>
            </w:r>
          </w:p>
        </w:tc>
        <w:tc>
          <w:tcPr>
            <w:tcW w:w="1776" w:type="dxa"/>
          </w:tcPr>
          <w:p w14:paraId="42F4575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 Low compliance </w:t>
            </w:r>
          </w:p>
        </w:tc>
        <w:tc>
          <w:tcPr>
            <w:tcW w:w="1896" w:type="dxa"/>
          </w:tcPr>
          <w:p w14:paraId="32C7AC8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Ensure enforcement </w:t>
            </w:r>
          </w:p>
        </w:tc>
      </w:tr>
      <w:tr w14:paraId="7833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776" w:type="dxa"/>
          </w:tcPr>
          <w:p w14:paraId="7907612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Security </w:t>
            </w:r>
          </w:p>
        </w:tc>
        <w:tc>
          <w:tcPr>
            <w:tcW w:w="3696" w:type="dxa"/>
          </w:tcPr>
          <w:p w14:paraId="2B26708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Proper appraisal of the security architecture of the university </w:t>
            </w:r>
          </w:p>
          <w:p w14:paraId="7CB7CBC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Synergy with security agencies </w:t>
            </w:r>
          </w:p>
        </w:tc>
        <w:tc>
          <w:tcPr>
            <w:tcW w:w="1776" w:type="dxa"/>
          </w:tcPr>
          <w:p w14:paraId="321157E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5E650A6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CSO</w:t>
            </w:r>
          </w:p>
        </w:tc>
        <w:tc>
          <w:tcPr>
            <w:tcW w:w="1776" w:type="dxa"/>
          </w:tcPr>
          <w:p w14:paraId="654D366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Weak institutional framework</w:t>
            </w:r>
          </w:p>
        </w:tc>
        <w:tc>
          <w:tcPr>
            <w:tcW w:w="1896" w:type="dxa"/>
          </w:tcPr>
          <w:p w14:paraId="5E2D32E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Proper reorientation of existing personnel </w:t>
            </w:r>
          </w:p>
          <w:p w14:paraId="0707DE0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Provide security equipment</w:t>
            </w:r>
          </w:p>
          <w:p w14:paraId="53DD9F43">
            <w:pPr>
              <w:spacing w:after="0" w:line="240" w:lineRule="auto"/>
              <w:rPr>
                <w:rFonts w:ascii="SimSun" w:hAnsi="SimSun" w:eastAsia="SimSun" w:cs="Times New Roman"/>
                <w:kern w:val="2"/>
                <w:sz w:val="24"/>
                <w:szCs w:val="24"/>
                <w:lang w:eastAsia="en-GB"/>
                <w14:ligatures w14:val="standardContextual"/>
              </w:rPr>
            </w:pPr>
          </w:p>
        </w:tc>
      </w:tr>
      <w:tr w14:paraId="4B84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776" w:type="dxa"/>
          </w:tcPr>
          <w:p w14:paraId="73DA5C4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Urban Renewal   </w:t>
            </w:r>
          </w:p>
        </w:tc>
        <w:tc>
          <w:tcPr>
            <w:tcW w:w="3696" w:type="dxa"/>
          </w:tcPr>
          <w:p w14:paraId="1B127CB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Rejig/Develop a University Master Plan for sustainable development </w:t>
            </w:r>
          </w:p>
          <w:p w14:paraId="2F4639A4">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Develop a maintenance plan</w:t>
            </w:r>
          </w:p>
          <w:p w14:paraId="341E09E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Push-back encroachment into university land  </w:t>
            </w:r>
          </w:p>
        </w:tc>
        <w:tc>
          <w:tcPr>
            <w:tcW w:w="1776" w:type="dxa"/>
          </w:tcPr>
          <w:p w14:paraId="7F6F3ED4">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69CA4FA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PP&amp;DD</w:t>
            </w:r>
          </w:p>
          <w:p w14:paraId="115E0D8A">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Directorate of Works and Services </w:t>
            </w:r>
          </w:p>
        </w:tc>
        <w:tc>
          <w:tcPr>
            <w:tcW w:w="1776" w:type="dxa"/>
          </w:tcPr>
          <w:p w14:paraId="603A1B22">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Some existing structures contravene the master plan  </w:t>
            </w:r>
          </w:p>
          <w:p w14:paraId="302FC37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Resistance by encroachers </w:t>
            </w:r>
          </w:p>
        </w:tc>
        <w:tc>
          <w:tcPr>
            <w:tcW w:w="1896" w:type="dxa"/>
          </w:tcPr>
          <w:p w14:paraId="3369829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Realign development with the master plan </w:t>
            </w:r>
          </w:p>
          <w:p w14:paraId="71C3D210">
            <w:pPr>
              <w:spacing w:after="0" w:line="240" w:lineRule="auto"/>
              <w:rPr>
                <w:rFonts w:ascii="SimSun" w:hAnsi="SimSun" w:eastAsia="SimSun" w:cs="Times New Roman"/>
                <w:kern w:val="2"/>
                <w:sz w:val="24"/>
                <w:szCs w:val="24"/>
                <w:lang w:eastAsia="en-GB"/>
                <w14:ligatures w14:val="standardContextual"/>
              </w:rPr>
            </w:pPr>
          </w:p>
          <w:p w14:paraId="005EAFA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Community engagement </w:t>
            </w:r>
          </w:p>
        </w:tc>
      </w:tr>
      <w:tr w14:paraId="3782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776" w:type="dxa"/>
            <w:tcBorders/>
          </w:tcPr>
          <w:p w14:paraId="47C1624E">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Create a VC’s Legacy Documentation Unit </w:t>
            </w:r>
          </w:p>
        </w:tc>
        <w:tc>
          <w:tcPr>
            <w:tcW w:w="3696" w:type="dxa"/>
          </w:tcPr>
          <w:p w14:paraId="60E51CD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To track archive and evaluate all projects, policies, milestones and changes </w:t>
            </w:r>
          </w:p>
        </w:tc>
        <w:tc>
          <w:tcPr>
            <w:tcW w:w="1776" w:type="dxa"/>
          </w:tcPr>
          <w:p w14:paraId="508FF0B1">
            <w:pPr>
              <w:spacing w:after="0" w:line="240" w:lineRule="auto"/>
              <w:rPr>
                <w:rFonts w:hint="default" w:ascii="SimSun" w:hAnsi="SimSun" w:eastAsia="SimSun" w:cs="Times New Roman"/>
                <w:kern w:val="2"/>
                <w:sz w:val="24"/>
                <w:szCs w:val="24"/>
                <w:lang w:val="en-US" w:eastAsia="en-GB"/>
                <w14:ligatures w14:val="standardContextual"/>
              </w:rPr>
            </w:pPr>
            <w:r>
              <w:rPr>
                <w:rFonts w:ascii="SimSun" w:hAnsi="SimSun" w:eastAsia="SimSun" w:cs="Times New Roman"/>
                <w:kern w:val="2"/>
                <w:sz w:val="24"/>
                <w:szCs w:val="24"/>
                <w:lang w:eastAsia="en-GB"/>
                <w14:ligatures w14:val="standardContextual"/>
              </w:rPr>
              <w:t>Directorate of Strategy Communication</w:t>
            </w:r>
            <w:r>
              <w:rPr>
                <w:rFonts w:hint="default" w:ascii="SimSun" w:hAnsi="SimSun" w:eastAsia="SimSun" w:cs="Times New Roman"/>
                <w:kern w:val="2"/>
                <w:sz w:val="24"/>
                <w:szCs w:val="24"/>
                <w:lang w:val="en-US" w:eastAsia="en-GB"/>
                <w14:ligatures w14:val="standardContextual"/>
              </w:rPr>
              <w:t xml:space="preserve"> &amp; </w:t>
            </w:r>
            <w:r>
              <w:rPr>
                <w:rFonts w:ascii="SimSun" w:hAnsi="SimSun" w:eastAsia="SimSun" w:cs="Times New Roman"/>
                <w:kern w:val="2"/>
                <w:sz w:val="24"/>
                <w:szCs w:val="24"/>
                <w:lang w:eastAsia="en-GB"/>
                <w14:ligatures w14:val="standardContextual"/>
              </w:rPr>
              <w:t xml:space="preserve"> </w:t>
            </w:r>
            <w:r>
              <w:rPr>
                <w:rFonts w:hint="default" w:ascii="SimSun" w:hAnsi="SimSun" w:eastAsia="SimSun" w:cs="Times New Roman"/>
                <w:kern w:val="2"/>
                <w:sz w:val="24"/>
                <w:szCs w:val="24"/>
                <w:lang w:val="en-US" w:eastAsia="en-GB"/>
                <w14:ligatures w14:val="standardContextual"/>
              </w:rPr>
              <w:t xml:space="preserve">documentation </w:t>
            </w:r>
          </w:p>
        </w:tc>
        <w:tc>
          <w:tcPr>
            <w:tcW w:w="1776" w:type="dxa"/>
          </w:tcPr>
          <w:p w14:paraId="3D11A3EC">
            <w:pPr>
              <w:spacing w:after="0" w:line="240" w:lineRule="auto"/>
              <w:rPr>
                <w:rFonts w:ascii="SimSun" w:hAnsi="SimSun" w:eastAsia="SimSun" w:cs="Times New Roman"/>
                <w:kern w:val="2"/>
                <w:sz w:val="24"/>
                <w:szCs w:val="24"/>
                <w:lang w:eastAsia="en-GB"/>
                <w14:ligatures w14:val="standardContextual"/>
              </w:rPr>
            </w:pPr>
          </w:p>
        </w:tc>
        <w:tc>
          <w:tcPr>
            <w:tcW w:w="1896" w:type="dxa"/>
          </w:tcPr>
          <w:p w14:paraId="68CA649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Establish the Directorate of Strategy &amp; Communication</w:t>
            </w:r>
          </w:p>
        </w:tc>
      </w:tr>
    </w:tbl>
    <w:p w14:paraId="7283FE65">
      <w:pPr>
        <w:rPr>
          <w:rFonts w:ascii="SimSun" w:hAnsi="SimSun" w:eastAsia="SimSun"/>
          <w:sz w:val="24"/>
          <w:szCs w:val="24"/>
        </w:rPr>
      </w:pPr>
    </w:p>
    <w:p w14:paraId="59079181">
      <w:pPr>
        <w:spacing w:after="0" w:line="240" w:lineRule="auto"/>
        <w:rPr>
          <w:rFonts w:ascii="SimSun" w:hAnsi="SimSun" w:eastAsia="SimSun"/>
          <w:sz w:val="24"/>
          <w:szCs w:val="24"/>
        </w:rPr>
      </w:pPr>
    </w:p>
    <w:p w14:paraId="1265D5A3">
      <w:pPr>
        <w:rPr>
          <w:rFonts w:ascii="SimSun" w:hAnsi="SimSun" w:eastAsia="SimSun" w:cs="Times New Roman"/>
          <w:b/>
          <w:bCs/>
          <w:sz w:val="28"/>
          <w:szCs w:val="28"/>
          <w:lang w:eastAsia="en-GB"/>
        </w:rPr>
      </w:pPr>
      <w:r>
        <w:rPr>
          <w:rFonts w:ascii="SimSun" w:hAnsi="SimSun" w:eastAsia="SimSun" w:cs="Times New Roman"/>
          <w:b/>
          <w:bCs/>
          <w:sz w:val="28"/>
          <w:szCs w:val="28"/>
          <w:lang w:eastAsia="en-GB"/>
        </w:rPr>
        <w:t xml:space="preserve">Short Term </w:t>
      </w:r>
      <w:r>
        <w:rPr>
          <w:rFonts w:hint="default" w:ascii="SimSun" w:hAnsi="SimSun" w:eastAsia="SimSun" w:cs="Times New Roman"/>
          <w:b/>
          <w:bCs/>
          <w:sz w:val="28"/>
          <w:szCs w:val="28"/>
          <w:lang w:val="en-US" w:eastAsia="en-GB"/>
        </w:rPr>
        <w:t xml:space="preserve"> Goal </w:t>
      </w:r>
      <w:r>
        <w:rPr>
          <w:rFonts w:ascii="SimSun" w:hAnsi="SimSun" w:eastAsia="SimSun" w:cs="Times New Roman"/>
          <w:b/>
          <w:bCs/>
          <w:sz w:val="28"/>
          <w:szCs w:val="28"/>
          <w:lang w:eastAsia="en-GB"/>
        </w:rPr>
        <w:t>(1–2 Years)</w:t>
      </w:r>
      <w:r>
        <w:rPr>
          <w:rFonts w:hint="default" w:ascii="SimSun" w:hAnsi="SimSun" w:eastAsia="SimSun" w:cs="Times New Roman"/>
          <w:b/>
          <w:bCs/>
          <w:sz w:val="28"/>
          <w:szCs w:val="28"/>
          <w:lang w:val="en-US" w:eastAsia="en-GB"/>
        </w:rPr>
        <w:t xml:space="preserve">: </w:t>
      </w:r>
      <w:r>
        <w:rPr>
          <w:rFonts w:ascii="SimSun" w:hAnsi="SimSun" w:eastAsia="SimSun" w:cs="Times New Roman"/>
          <w:b/>
          <w:bCs/>
          <w:sz w:val="28"/>
          <w:szCs w:val="28"/>
          <w:lang w:eastAsia="en-GB"/>
        </w:rPr>
        <w:t xml:space="preserve">Strengthening Academic, Administrative, Research and Infrastructural Foundations </w:t>
      </w:r>
    </w:p>
    <w:p w14:paraId="67C18489">
      <w:pPr>
        <w:spacing w:before="100" w:beforeAutospacing="1" w:after="200" w:line="273" w:lineRule="auto"/>
        <w:jc w:val="both"/>
        <w:rPr>
          <w:rFonts w:ascii="SimSun" w:hAnsi="SimSun" w:eastAsia="SimSun" w:cs="Times New Roman"/>
          <w:sz w:val="28"/>
          <w:szCs w:val="28"/>
          <w:lang w:eastAsia="en-GB"/>
        </w:rPr>
      </w:pPr>
      <w:r>
        <w:rPr>
          <w:rFonts w:ascii="SimSun" w:hAnsi="SimSun" w:eastAsia="SimSun" w:cs="Times New Roman"/>
          <w:sz w:val="28"/>
          <w:szCs w:val="28"/>
          <w:lang w:eastAsia="en-GB"/>
        </w:rPr>
        <w:t>In the first two years, the focus will be on strengthening teaching quality, introducing new market-driven programmes, building research culture, and digitizing administration. Visible progress at the permanent site will reassure stakeholders of infrastructural commitment.</w:t>
      </w:r>
    </w:p>
    <w:p w14:paraId="06067010">
      <w:pPr>
        <w:spacing w:before="100" w:beforeAutospacing="1" w:after="200" w:line="273" w:lineRule="auto"/>
        <w:rPr>
          <w:rFonts w:ascii="SimSun" w:hAnsi="SimSun" w:eastAsia="SimSun" w:cs="Times New Roman"/>
          <w:sz w:val="24"/>
          <w:szCs w:val="24"/>
          <w:lang w:eastAsia="en-GB"/>
        </w:rPr>
      </w:pPr>
    </w:p>
    <w:tbl>
      <w:tblPr>
        <w:tblStyle w:val="19"/>
        <w:tblW w:w="10491"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3118"/>
        <w:gridCol w:w="1559"/>
        <w:gridCol w:w="1560"/>
        <w:gridCol w:w="2268"/>
      </w:tblGrid>
      <w:tr w14:paraId="69A9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4005C5B1">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Strategic Priority</w:t>
            </w:r>
          </w:p>
        </w:tc>
        <w:tc>
          <w:tcPr>
            <w:tcW w:w="3118" w:type="dxa"/>
          </w:tcPr>
          <w:p w14:paraId="387DF3C3">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Targets &amp; Goals</w:t>
            </w:r>
          </w:p>
        </w:tc>
        <w:tc>
          <w:tcPr>
            <w:tcW w:w="1559" w:type="dxa"/>
          </w:tcPr>
          <w:p w14:paraId="52FD5F39">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 xml:space="preserve">Responsible Actors </w:t>
            </w:r>
          </w:p>
        </w:tc>
        <w:tc>
          <w:tcPr>
            <w:tcW w:w="1560" w:type="dxa"/>
          </w:tcPr>
          <w:p w14:paraId="5D3AF050">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Risks</w:t>
            </w:r>
          </w:p>
        </w:tc>
        <w:tc>
          <w:tcPr>
            <w:tcW w:w="2268" w:type="dxa"/>
          </w:tcPr>
          <w:p w14:paraId="39220867">
            <w:pPr>
              <w:spacing w:after="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Mitigation</w:t>
            </w:r>
          </w:p>
        </w:tc>
      </w:tr>
      <w:tr w14:paraId="03C6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177DC91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Teaching &amp; Learning</w:t>
            </w:r>
          </w:p>
        </w:tc>
        <w:tc>
          <w:tcPr>
            <w:tcW w:w="3118" w:type="dxa"/>
          </w:tcPr>
          <w:p w14:paraId="4F971A2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Launch new market-driven programmes (AI, Climate Studies, Creative Industries, Entrepreneurship, Renewable Energy)</w:t>
            </w:r>
          </w:p>
        </w:tc>
        <w:tc>
          <w:tcPr>
            <w:tcW w:w="1559" w:type="dxa"/>
          </w:tcPr>
          <w:p w14:paraId="72D3B5AA">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DVC Academics, DAP, Deans &amp; HODs </w:t>
            </w:r>
          </w:p>
        </w:tc>
        <w:tc>
          <w:tcPr>
            <w:tcW w:w="1560" w:type="dxa"/>
          </w:tcPr>
          <w:p w14:paraId="3EED36F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Resource gaps</w:t>
            </w:r>
          </w:p>
        </w:tc>
        <w:tc>
          <w:tcPr>
            <w:tcW w:w="2268" w:type="dxa"/>
          </w:tcPr>
          <w:p w14:paraId="2D63680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Strategic MoUs</w:t>
            </w:r>
          </w:p>
          <w:p w14:paraId="599B498F">
            <w:pPr>
              <w:spacing w:after="0" w:line="240" w:lineRule="auto"/>
              <w:rPr>
                <w:rFonts w:ascii="SimSun" w:hAnsi="SimSun" w:eastAsia="SimSun" w:cs="Times New Roman"/>
                <w:kern w:val="2"/>
                <w:sz w:val="24"/>
                <w:szCs w:val="24"/>
                <w:lang w:eastAsia="en-GB"/>
                <w14:ligatures w14:val="standardContextual"/>
              </w:rPr>
            </w:pPr>
          </w:p>
          <w:p w14:paraId="3561CB7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Phased rollout</w:t>
            </w:r>
          </w:p>
        </w:tc>
      </w:tr>
      <w:tr w14:paraId="2846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6F92077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Research</w:t>
            </w:r>
          </w:p>
        </w:tc>
        <w:tc>
          <w:tcPr>
            <w:tcW w:w="3118" w:type="dxa"/>
          </w:tcPr>
          <w:p w14:paraId="503467E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Establish Seed-funded research clusters; introduce annual research grant awards</w:t>
            </w:r>
          </w:p>
        </w:tc>
        <w:tc>
          <w:tcPr>
            <w:tcW w:w="1559" w:type="dxa"/>
          </w:tcPr>
          <w:p w14:paraId="0582A12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DVC Academic</w:t>
            </w:r>
          </w:p>
          <w:p w14:paraId="7F6BEF6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Directorate of Research </w:t>
            </w:r>
          </w:p>
        </w:tc>
        <w:tc>
          <w:tcPr>
            <w:tcW w:w="1560" w:type="dxa"/>
          </w:tcPr>
          <w:p w14:paraId="6ACD78F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uptake</w:t>
            </w:r>
          </w:p>
        </w:tc>
        <w:tc>
          <w:tcPr>
            <w:tcW w:w="2268" w:type="dxa"/>
          </w:tcPr>
          <w:p w14:paraId="67A6C7D7">
            <w:pPr>
              <w:numPr>
                <w:ilvl w:val="0"/>
                <w:numId w:val="11"/>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Incentives for staff; workshops</w:t>
            </w:r>
          </w:p>
          <w:p w14:paraId="044D65CA">
            <w:pPr>
              <w:numPr>
                <w:ilvl w:val="0"/>
                <w:numId w:val="11"/>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Engagement of Consultants</w:t>
            </w:r>
          </w:p>
        </w:tc>
      </w:tr>
      <w:tr w14:paraId="4EF3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3B33FFF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ICT</w:t>
            </w:r>
          </w:p>
        </w:tc>
        <w:tc>
          <w:tcPr>
            <w:tcW w:w="3118" w:type="dxa"/>
          </w:tcPr>
          <w:p w14:paraId="54F0144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Full digitization of undergraduate and postgraduate student records, exams, results &amp; transcripts </w:t>
            </w:r>
          </w:p>
          <w:p w14:paraId="1945D3D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E-governance</w:t>
            </w:r>
          </w:p>
        </w:tc>
        <w:tc>
          <w:tcPr>
            <w:tcW w:w="1559" w:type="dxa"/>
          </w:tcPr>
          <w:p w14:paraId="26DB900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ICT Directorate, Exams &amp; Records</w:t>
            </w:r>
          </w:p>
          <w:p w14:paraId="50304E1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Registry</w:t>
            </w:r>
          </w:p>
        </w:tc>
        <w:tc>
          <w:tcPr>
            <w:tcW w:w="1560" w:type="dxa"/>
          </w:tcPr>
          <w:p w14:paraId="6831302E">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Cybersecurity risks</w:t>
            </w:r>
          </w:p>
        </w:tc>
        <w:tc>
          <w:tcPr>
            <w:tcW w:w="2268" w:type="dxa"/>
          </w:tcPr>
          <w:p w14:paraId="421254C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Security protocols</w:t>
            </w:r>
          </w:p>
          <w:p w14:paraId="544AA6F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Staff training</w:t>
            </w:r>
          </w:p>
        </w:tc>
      </w:tr>
      <w:tr w14:paraId="7B53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1986" w:type="dxa"/>
          </w:tcPr>
          <w:p w14:paraId="612513C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Infrastructure</w:t>
            </w:r>
          </w:p>
        </w:tc>
        <w:tc>
          <w:tcPr>
            <w:tcW w:w="3118" w:type="dxa"/>
          </w:tcPr>
          <w:p w14:paraId="667418F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Begin phased renovation of faculties, theatre halls and hostels in both campuses</w:t>
            </w:r>
          </w:p>
        </w:tc>
        <w:tc>
          <w:tcPr>
            <w:tcW w:w="1559" w:type="dxa"/>
          </w:tcPr>
          <w:p w14:paraId="0EEFE3D4">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Works &amp; Services/ PP &amp; DD</w:t>
            </w:r>
          </w:p>
        </w:tc>
        <w:tc>
          <w:tcPr>
            <w:tcW w:w="1560" w:type="dxa"/>
          </w:tcPr>
          <w:p w14:paraId="2403F2CA">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Contractor delays and weak Institutional Capacity</w:t>
            </w:r>
          </w:p>
        </w:tc>
        <w:tc>
          <w:tcPr>
            <w:tcW w:w="2268" w:type="dxa"/>
          </w:tcPr>
          <w:p w14:paraId="468600C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Regular monitoring</w:t>
            </w:r>
          </w:p>
          <w:p w14:paraId="1DD7CFF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 Multi-source funding</w:t>
            </w:r>
          </w:p>
        </w:tc>
      </w:tr>
      <w:tr w14:paraId="501D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3F4B8AC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Student Development</w:t>
            </w:r>
          </w:p>
        </w:tc>
        <w:tc>
          <w:tcPr>
            <w:tcW w:w="3118" w:type="dxa"/>
          </w:tcPr>
          <w:p w14:paraId="5018B49C">
            <w:pPr>
              <w:numPr>
                <w:ilvl w:val="0"/>
                <w:numId w:val="12"/>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Re-jig student entrepreneurship scheme.</w:t>
            </w:r>
          </w:p>
          <w:p w14:paraId="5ED5B237">
            <w:pPr>
              <w:numPr>
                <w:ilvl w:val="0"/>
                <w:numId w:val="12"/>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Strengthen SIWES</w:t>
            </w:r>
          </w:p>
          <w:p w14:paraId="4722D74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ii.</w:t>
            </w:r>
            <w:r>
              <w:rPr>
                <w:rFonts w:ascii="SimSun" w:hAnsi="SimSun" w:eastAsia="SimSun" w:cs="Times New Roman"/>
                <w:kern w:val="2"/>
                <w:sz w:val="24"/>
                <w:szCs w:val="24"/>
                <w:lang w:eastAsia="en-GB"/>
                <w14:ligatures w14:val="standardContextual"/>
              </w:rPr>
              <w:tab/>
            </w:r>
            <w:r>
              <w:rPr>
                <w:rFonts w:ascii="SimSun" w:hAnsi="SimSun" w:eastAsia="SimSun" w:cs="Times New Roman"/>
                <w:kern w:val="2"/>
                <w:sz w:val="24"/>
                <w:szCs w:val="24"/>
                <w:lang w:eastAsia="en-GB"/>
                <w14:ligatures w14:val="standardContextual"/>
              </w:rPr>
              <w:t>Enhance Industrial collaboration for   theory to practice synergy</w:t>
            </w:r>
          </w:p>
          <w:p w14:paraId="1EA881FA">
            <w:pPr>
              <w:numPr>
                <w:ilvl w:val="0"/>
                <w:numId w:val="11"/>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Construct more useable sporting facilities </w:t>
            </w:r>
          </w:p>
          <w:p w14:paraId="418F117D">
            <w:pPr>
              <w:spacing w:after="0" w:line="240" w:lineRule="auto"/>
              <w:ind w:left="773"/>
              <w:contextualSpacing/>
              <w:rPr>
                <w:rFonts w:ascii="SimSun" w:hAnsi="SimSun" w:eastAsia="SimSun" w:cs="Times New Roman"/>
                <w:kern w:val="2"/>
                <w:sz w:val="24"/>
                <w:szCs w:val="24"/>
                <w:lang w:eastAsia="en-GB"/>
                <w14:ligatures w14:val="standardContextual"/>
              </w:rPr>
            </w:pPr>
          </w:p>
        </w:tc>
        <w:tc>
          <w:tcPr>
            <w:tcW w:w="1559" w:type="dxa"/>
          </w:tcPr>
          <w:p w14:paraId="289EAEB2">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Student Affairs, Career Centre, Entrepreneurship Directorate </w:t>
            </w:r>
          </w:p>
          <w:p w14:paraId="6AA0A4AC">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SIWES</w:t>
            </w:r>
          </w:p>
        </w:tc>
        <w:tc>
          <w:tcPr>
            <w:tcW w:w="1560" w:type="dxa"/>
          </w:tcPr>
          <w:p w14:paraId="2FDA5BA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Low student engagement</w:t>
            </w:r>
          </w:p>
        </w:tc>
        <w:tc>
          <w:tcPr>
            <w:tcW w:w="2268" w:type="dxa"/>
          </w:tcPr>
          <w:p w14:paraId="66FB41E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Engage industry mentors</w:t>
            </w:r>
          </w:p>
        </w:tc>
      </w:tr>
      <w:tr w14:paraId="0D59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063A93A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Administrative and Financial Re-structuring. </w:t>
            </w:r>
          </w:p>
        </w:tc>
        <w:tc>
          <w:tcPr>
            <w:tcW w:w="3118" w:type="dxa"/>
          </w:tcPr>
          <w:p w14:paraId="1040182F">
            <w:pPr>
              <w:numPr>
                <w:ilvl w:val="0"/>
                <w:numId w:val="13"/>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Deployment of accounting and auditing officers to faculties, institutes and centres </w:t>
            </w:r>
          </w:p>
          <w:p w14:paraId="05EC8FBB">
            <w:pPr>
              <w:numPr>
                <w:ilvl w:val="0"/>
                <w:numId w:val="13"/>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Quarterly meetings for budgetary appropriation performance evaluation with departments, institutes, centres and faculties</w:t>
            </w:r>
          </w:p>
          <w:p w14:paraId="5F52A570">
            <w:pPr>
              <w:numPr>
                <w:ilvl w:val="0"/>
                <w:numId w:val="13"/>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Set up monitoring and evaluation units for KPIs in all faculties </w:t>
            </w:r>
          </w:p>
        </w:tc>
        <w:tc>
          <w:tcPr>
            <w:tcW w:w="1559" w:type="dxa"/>
          </w:tcPr>
          <w:p w14:paraId="00A1B5D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VC </w:t>
            </w:r>
          </w:p>
          <w:p w14:paraId="56C9F87C">
            <w:pPr>
              <w:spacing w:after="0" w:line="240" w:lineRule="auto"/>
              <w:rPr>
                <w:rFonts w:ascii="SimSun" w:hAnsi="SimSun" w:eastAsia="SimSun" w:cs="Times New Roman"/>
                <w:kern w:val="2"/>
                <w:sz w:val="24"/>
                <w:szCs w:val="24"/>
                <w:lang w:eastAsia="en-GB"/>
                <w14:ligatures w14:val="standardContextual"/>
              </w:rPr>
            </w:pPr>
          </w:p>
          <w:p w14:paraId="1D4E7ECC">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Registrar</w:t>
            </w:r>
          </w:p>
          <w:p w14:paraId="67631D91">
            <w:pPr>
              <w:spacing w:after="0" w:line="240" w:lineRule="auto"/>
              <w:rPr>
                <w:rFonts w:ascii="SimSun" w:hAnsi="SimSun" w:eastAsia="SimSun" w:cs="Times New Roman"/>
                <w:kern w:val="2"/>
                <w:sz w:val="24"/>
                <w:szCs w:val="24"/>
                <w:lang w:eastAsia="en-GB"/>
                <w14:ligatures w14:val="standardContextual"/>
              </w:rPr>
            </w:pPr>
          </w:p>
          <w:p w14:paraId="60722C2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Bursar</w:t>
            </w:r>
          </w:p>
          <w:p w14:paraId="1713A969">
            <w:pPr>
              <w:spacing w:after="0" w:line="240" w:lineRule="auto"/>
              <w:rPr>
                <w:rFonts w:ascii="SimSun" w:hAnsi="SimSun" w:eastAsia="SimSun" w:cs="Times New Roman"/>
                <w:kern w:val="2"/>
                <w:sz w:val="24"/>
                <w:szCs w:val="24"/>
                <w:lang w:eastAsia="en-GB"/>
                <w14:ligatures w14:val="standardContextual"/>
              </w:rPr>
            </w:pPr>
          </w:p>
          <w:p w14:paraId="6856D63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Consultants</w:t>
            </w:r>
          </w:p>
        </w:tc>
        <w:tc>
          <w:tcPr>
            <w:tcW w:w="1560" w:type="dxa"/>
          </w:tcPr>
          <w:p w14:paraId="666406B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Staff resistance to change </w:t>
            </w:r>
          </w:p>
        </w:tc>
        <w:tc>
          <w:tcPr>
            <w:tcW w:w="2268" w:type="dxa"/>
          </w:tcPr>
          <w:p w14:paraId="2662906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Enforcing strict compliance </w:t>
            </w:r>
          </w:p>
          <w:p w14:paraId="2E4B2EF7">
            <w:pPr>
              <w:spacing w:after="0" w:line="240" w:lineRule="auto"/>
              <w:rPr>
                <w:rFonts w:ascii="SimSun" w:hAnsi="SimSun" w:eastAsia="SimSun" w:cs="Times New Roman"/>
                <w:kern w:val="2"/>
                <w:sz w:val="24"/>
                <w:szCs w:val="24"/>
                <w:lang w:eastAsia="en-GB"/>
                <w14:ligatures w14:val="standardContextual"/>
              </w:rPr>
            </w:pPr>
          </w:p>
          <w:p w14:paraId="15558842">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Quarterly reports and implementation</w:t>
            </w:r>
          </w:p>
        </w:tc>
      </w:tr>
      <w:tr w14:paraId="694F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2C5DBF0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Restructuring and consolidation of institutes, centres and academic programmes</w:t>
            </w:r>
          </w:p>
        </w:tc>
        <w:tc>
          <w:tcPr>
            <w:tcW w:w="3118" w:type="dxa"/>
          </w:tcPr>
          <w:p w14:paraId="2375DED6">
            <w:pPr>
              <w:pStyle w:val="36"/>
              <w:numPr>
                <w:ilvl w:val="0"/>
                <w:numId w:val="14"/>
              </w:num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Merge programmes with duplicate mandates</w:t>
            </w:r>
          </w:p>
          <w:p w14:paraId="7BF27E2C">
            <w:pPr>
              <w:pStyle w:val="36"/>
              <w:numPr>
                <w:ilvl w:val="0"/>
                <w:numId w:val="14"/>
              </w:num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Consolidate centres and institutes for effective delivery</w:t>
            </w:r>
          </w:p>
        </w:tc>
        <w:tc>
          <w:tcPr>
            <w:tcW w:w="1559" w:type="dxa"/>
          </w:tcPr>
          <w:p w14:paraId="20DF544C">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Vice Chancellor</w:t>
            </w:r>
          </w:p>
          <w:p w14:paraId="32B1BA42">
            <w:pPr>
              <w:spacing w:after="0" w:line="240" w:lineRule="auto"/>
              <w:rPr>
                <w:rFonts w:ascii="SimSun" w:hAnsi="SimSun" w:eastAsia="SimSun" w:cs="Times New Roman"/>
                <w:kern w:val="2"/>
                <w:sz w:val="24"/>
                <w:szCs w:val="24"/>
                <w:lang w:eastAsia="en-GB"/>
                <w14:ligatures w14:val="standardContextual"/>
              </w:rPr>
            </w:pPr>
          </w:p>
          <w:p w14:paraId="674336D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DVC Academic</w:t>
            </w:r>
          </w:p>
          <w:p w14:paraId="189CA1AA">
            <w:pPr>
              <w:spacing w:after="0" w:line="240" w:lineRule="auto"/>
              <w:rPr>
                <w:rFonts w:ascii="SimSun" w:hAnsi="SimSun" w:eastAsia="SimSun" w:cs="Times New Roman"/>
                <w:kern w:val="2"/>
                <w:sz w:val="24"/>
                <w:szCs w:val="24"/>
                <w:lang w:eastAsia="en-GB"/>
                <w14:ligatures w14:val="standardContextual"/>
              </w:rPr>
            </w:pPr>
          </w:p>
          <w:p w14:paraId="4BF2C76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Registrar</w:t>
            </w:r>
          </w:p>
          <w:p w14:paraId="3BD7BF29">
            <w:pPr>
              <w:spacing w:after="0" w:line="240" w:lineRule="auto"/>
              <w:rPr>
                <w:rFonts w:ascii="SimSun" w:hAnsi="SimSun" w:eastAsia="SimSun" w:cs="Times New Roman"/>
                <w:kern w:val="2"/>
                <w:sz w:val="24"/>
                <w:szCs w:val="24"/>
                <w:lang w:eastAsia="en-GB"/>
                <w14:ligatures w14:val="standardContextual"/>
              </w:rPr>
            </w:pPr>
          </w:p>
          <w:p w14:paraId="5ECD697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Senate</w:t>
            </w:r>
          </w:p>
        </w:tc>
        <w:tc>
          <w:tcPr>
            <w:tcW w:w="1560" w:type="dxa"/>
          </w:tcPr>
          <w:p w14:paraId="09534DA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Resistance to change</w:t>
            </w:r>
          </w:p>
        </w:tc>
        <w:tc>
          <w:tcPr>
            <w:tcW w:w="2268" w:type="dxa"/>
          </w:tcPr>
          <w:p w14:paraId="5BD6B03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Get staff buy-in for sustainability and transparency</w:t>
            </w:r>
          </w:p>
          <w:p w14:paraId="56334928">
            <w:pPr>
              <w:spacing w:after="0" w:line="240" w:lineRule="auto"/>
              <w:rPr>
                <w:rFonts w:ascii="SimSun" w:hAnsi="SimSun" w:eastAsia="SimSun" w:cs="Times New Roman"/>
                <w:kern w:val="2"/>
                <w:sz w:val="24"/>
                <w:szCs w:val="24"/>
                <w:lang w:eastAsia="en-GB"/>
                <w14:ligatures w14:val="standardContextual"/>
              </w:rPr>
            </w:pPr>
          </w:p>
          <w:p w14:paraId="088A6431">
            <w:pPr>
              <w:spacing w:after="0" w:line="240" w:lineRule="auto"/>
              <w:rPr>
                <w:rFonts w:ascii="SimSun" w:hAnsi="SimSun" w:eastAsia="SimSun" w:cs="Times New Roman"/>
                <w:kern w:val="2"/>
                <w:sz w:val="24"/>
                <w:szCs w:val="24"/>
                <w:lang w:eastAsia="en-GB"/>
                <w14:ligatures w14:val="standardContextual"/>
              </w:rPr>
            </w:pPr>
          </w:p>
          <w:p w14:paraId="40326B6A">
            <w:pPr>
              <w:spacing w:after="0" w:line="240" w:lineRule="auto"/>
              <w:rPr>
                <w:rFonts w:ascii="SimSun" w:hAnsi="SimSun" w:eastAsia="SimSun" w:cs="Times New Roman"/>
                <w:kern w:val="2"/>
                <w:sz w:val="24"/>
                <w:szCs w:val="24"/>
                <w:lang w:eastAsia="en-GB"/>
                <w14:ligatures w14:val="standardContextual"/>
              </w:rPr>
            </w:pPr>
          </w:p>
        </w:tc>
      </w:tr>
      <w:tr w14:paraId="680A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2F40C8E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Vice-Chancellor’s Annual Business Summit to Attract Corporate and Alumni Social Responsibility </w:t>
            </w:r>
          </w:p>
        </w:tc>
        <w:tc>
          <w:tcPr>
            <w:tcW w:w="3118" w:type="dxa"/>
          </w:tcPr>
          <w:p w14:paraId="636850D5">
            <w:p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Robust alumni tracking processes</w:t>
            </w:r>
          </w:p>
        </w:tc>
        <w:tc>
          <w:tcPr>
            <w:tcW w:w="1559" w:type="dxa"/>
          </w:tcPr>
          <w:p w14:paraId="33F1F27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Registrar</w:t>
            </w:r>
          </w:p>
          <w:p w14:paraId="63EEA494">
            <w:pPr>
              <w:spacing w:after="0" w:line="240" w:lineRule="auto"/>
              <w:rPr>
                <w:rFonts w:ascii="SimSun" w:hAnsi="SimSun" w:eastAsia="SimSun" w:cs="Times New Roman"/>
                <w:kern w:val="2"/>
                <w:sz w:val="24"/>
                <w:szCs w:val="24"/>
                <w:lang w:eastAsia="en-GB"/>
                <w14:ligatures w14:val="standardContextual"/>
              </w:rPr>
            </w:pPr>
          </w:p>
          <w:p w14:paraId="552C9F3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Alumni Office</w:t>
            </w:r>
          </w:p>
          <w:p w14:paraId="2BE454C6">
            <w:pPr>
              <w:spacing w:after="0" w:line="240" w:lineRule="auto"/>
              <w:rPr>
                <w:rFonts w:ascii="SimSun" w:hAnsi="SimSun" w:eastAsia="SimSun" w:cs="Times New Roman"/>
                <w:kern w:val="2"/>
                <w:sz w:val="24"/>
                <w:szCs w:val="24"/>
                <w:lang w:eastAsia="en-GB"/>
                <w14:ligatures w14:val="standardContextual"/>
              </w:rPr>
            </w:pPr>
          </w:p>
          <w:p w14:paraId="71950352">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Linkages</w:t>
            </w:r>
          </w:p>
          <w:p w14:paraId="7CAD675B">
            <w:pPr>
              <w:spacing w:after="0" w:line="240" w:lineRule="auto"/>
              <w:rPr>
                <w:rFonts w:ascii="SimSun" w:hAnsi="SimSun" w:eastAsia="SimSun" w:cs="Times New Roman"/>
                <w:kern w:val="2"/>
                <w:sz w:val="24"/>
                <w:szCs w:val="24"/>
                <w:lang w:eastAsia="en-GB"/>
                <w14:ligatures w14:val="standardContextual"/>
              </w:rPr>
            </w:pPr>
          </w:p>
          <w:p w14:paraId="236316F4">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College of Postgraduate Studies</w:t>
            </w:r>
          </w:p>
        </w:tc>
        <w:tc>
          <w:tcPr>
            <w:tcW w:w="1560" w:type="dxa"/>
          </w:tcPr>
          <w:p w14:paraId="2B746316">
            <w:pPr>
              <w:spacing w:after="0" w:line="240" w:lineRule="auto"/>
              <w:rPr>
                <w:rFonts w:ascii="SimSun" w:hAnsi="SimSun" w:eastAsia="SimSun" w:cs="Times New Roman"/>
                <w:kern w:val="2"/>
                <w:sz w:val="24"/>
                <w:szCs w:val="24"/>
                <w:lang w:eastAsia="en-GB"/>
                <w14:ligatures w14:val="standardContextual"/>
              </w:rPr>
            </w:pPr>
          </w:p>
        </w:tc>
        <w:tc>
          <w:tcPr>
            <w:tcW w:w="2268" w:type="dxa"/>
          </w:tcPr>
          <w:p w14:paraId="2B0A11A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Deploy competent Alumni Officer.</w:t>
            </w:r>
          </w:p>
          <w:p w14:paraId="3C549C52">
            <w:pPr>
              <w:spacing w:after="0" w:line="240" w:lineRule="auto"/>
              <w:rPr>
                <w:rFonts w:ascii="SimSun" w:hAnsi="SimSun" w:eastAsia="SimSun" w:cs="Times New Roman"/>
                <w:kern w:val="2"/>
                <w:sz w:val="24"/>
                <w:szCs w:val="24"/>
                <w:lang w:eastAsia="en-GB"/>
                <w14:ligatures w14:val="standardContextual"/>
              </w:rPr>
            </w:pPr>
          </w:p>
          <w:p w14:paraId="14FDCF6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Liaise with Directorate of linkages </w:t>
            </w:r>
          </w:p>
        </w:tc>
      </w:tr>
      <w:tr w14:paraId="3A01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76B2319C">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Annual review and rebate of fees and institutional charges</w:t>
            </w:r>
          </w:p>
        </w:tc>
        <w:tc>
          <w:tcPr>
            <w:tcW w:w="3118" w:type="dxa"/>
          </w:tcPr>
          <w:p w14:paraId="2D262123">
            <w:p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For targeted infrastructural intervention and development</w:t>
            </w:r>
          </w:p>
        </w:tc>
        <w:tc>
          <w:tcPr>
            <w:tcW w:w="1559" w:type="dxa"/>
          </w:tcPr>
          <w:p w14:paraId="2AD2121C">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Council</w:t>
            </w:r>
          </w:p>
          <w:p w14:paraId="580D8035">
            <w:pPr>
              <w:spacing w:after="0" w:line="240" w:lineRule="auto"/>
              <w:rPr>
                <w:rFonts w:ascii="SimSun" w:hAnsi="SimSun" w:eastAsia="SimSun" w:cs="Times New Roman"/>
                <w:kern w:val="2"/>
                <w:sz w:val="24"/>
                <w:szCs w:val="24"/>
                <w:lang w:eastAsia="en-GB"/>
                <w14:ligatures w14:val="standardContextual"/>
              </w:rPr>
            </w:pPr>
          </w:p>
          <w:p w14:paraId="18FC486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Vice-Chancellor</w:t>
            </w:r>
          </w:p>
          <w:p w14:paraId="21722E0C">
            <w:pPr>
              <w:spacing w:after="0" w:line="240" w:lineRule="auto"/>
              <w:rPr>
                <w:rFonts w:ascii="SimSun" w:hAnsi="SimSun" w:eastAsia="SimSun" w:cs="Times New Roman"/>
                <w:kern w:val="2"/>
                <w:sz w:val="24"/>
                <w:szCs w:val="24"/>
                <w:lang w:eastAsia="en-GB"/>
                <w14:ligatures w14:val="standardContextual"/>
              </w:rPr>
            </w:pPr>
          </w:p>
          <w:p w14:paraId="345D56A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Bursary</w:t>
            </w:r>
          </w:p>
        </w:tc>
        <w:tc>
          <w:tcPr>
            <w:tcW w:w="1560" w:type="dxa"/>
          </w:tcPr>
          <w:p w14:paraId="7BD22BC4">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Students’ union resistance</w:t>
            </w:r>
          </w:p>
        </w:tc>
        <w:tc>
          <w:tcPr>
            <w:tcW w:w="2268" w:type="dxa"/>
          </w:tcPr>
          <w:p w14:paraId="48E5FC02">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Get the buy-in of the Governing Council, students and parents</w:t>
            </w:r>
          </w:p>
        </w:tc>
      </w:tr>
      <w:tr w14:paraId="6594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6E09B7E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Security Framework</w:t>
            </w:r>
          </w:p>
        </w:tc>
        <w:tc>
          <w:tcPr>
            <w:tcW w:w="3118" w:type="dxa"/>
          </w:tcPr>
          <w:p w14:paraId="05E0D70A">
            <w:p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Adequate training for security personnel</w:t>
            </w:r>
          </w:p>
          <w:p w14:paraId="1DA63E14">
            <w:pPr>
              <w:spacing w:after="0" w:line="240" w:lineRule="auto"/>
              <w:ind w:left="720"/>
              <w:contextualSpacing/>
              <w:rPr>
                <w:rFonts w:ascii="SimSun" w:hAnsi="SimSun" w:eastAsia="SimSun" w:cs="Times New Roman"/>
                <w:kern w:val="2"/>
                <w:sz w:val="24"/>
                <w:szCs w:val="24"/>
                <w:lang w:eastAsia="en-GB"/>
                <w14:ligatures w14:val="standardContextual"/>
              </w:rPr>
            </w:pPr>
          </w:p>
          <w:p w14:paraId="0DA83586">
            <w:p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Equip the Security Unit with adequate communication gadgets and operational vehicles</w:t>
            </w:r>
          </w:p>
        </w:tc>
        <w:tc>
          <w:tcPr>
            <w:tcW w:w="1559" w:type="dxa"/>
          </w:tcPr>
          <w:p w14:paraId="091A084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46BB96C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CSO</w:t>
            </w:r>
          </w:p>
          <w:p w14:paraId="25934E9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Consultants</w:t>
            </w:r>
          </w:p>
        </w:tc>
        <w:tc>
          <w:tcPr>
            <w:tcW w:w="1560" w:type="dxa"/>
          </w:tcPr>
          <w:p w14:paraId="1F3AE6F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funds</w:t>
            </w:r>
          </w:p>
        </w:tc>
        <w:tc>
          <w:tcPr>
            <w:tcW w:w="2268" w:type="dxa"/>
          </w:tcPr>
          <w:p w14:paraId="31BAC7E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Seek corporate partnership </w:t>
            </w:r>
          </w:p>
        </w:tc>
      </w:tr>
      <w:tr w14:paraId="4D1D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139D6B4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Investment /Sustainability Plans for the University for forecasting </w:t>
            </w:r>
          </w:p>
        </w:tc>
        <w:tc>
          <w:tcPr>
            <w:tcW w:w="3118" w:type="dxa"/>
          </w:tcPr>
          <w:p w14:paraId="192A2A9D">
            <w:pPr>
              <w:numPr>
                <w:ilvl w:val="0"/>
                <w:numId w:val="15"/>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Investing in bonds</w:t>
            </w:r>
          </w:p>
          <w:p w14:paraId="01B18103">
            <w:pPr>
              <w:numPr>
                <w:ilvl w:val="0"/>
                <w:numId w:val="15"/>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Planting of Economic trees</w:t>
            </w:r>
          </w:p>
          <w:p w14:paraId="11AEF781">
            <w:pPr>
              <w:numPr>
                <w:ilvl w:val="0"/>
                <w:numId w:val="15"/>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Real estate investments  </w:t>
            </w:r>
          </w:p>
        </w:tc>
        <w:tc>
          <w:tcPr>
            <w:tcW w:w="1559" w:type="dxa"/>
          </w:tcPr>
          <w:p w14:paraId="0059D82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VC </w:t>
            </w:r>
          </w:p>
          <w:p w14:paraId="11C6E555">
            <w:pPr>
              <w:spacing w:after="0" w:line="240" w:lineRule="auto"/>
              <w:rPr>
                <w:rFonts w:ascii="SimSun" w:hAnsi="SimSun" w:eastAsia="SimSun" w:cs="Times New Roman"/>
                <w:kern w:val="2"/>
                <w:sz w:val="24"/>
                <w:szCs w:val="24"/>
                <w:lang w:eastAsia="en-GB"/>
                <w14:ligatures w14:val="standardContextual"/>
              </w:rPr>
            </w:pPr>
          </w:p>
          <w:p w14:paraId="16589D1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Financial sustainability Committee</w:t>
            </w:r>
          </w:p>
          <w:p w14:paraId="608F2778">
            <w:pPr>
              <w:spacing w:after="0" w:line="240" w:lineRule="auto"/>
              <w:rPr>
                <w:rFonts w:ascii="SimSun" w:hAnsi="SimSun" w:eastAsia="SimSun" w:cs="Times New Roman"/>
                <w:kern w:val="2"/>
                <w:sz w:val="24"/>
                <w:szCs w:val="24"/>
                <w:lang w:eastAsia="en-GB"/>
                <w14:ligatures w14:val="standardContextual"/>
              </w:rPr>
            </w:pPr>
          </w:p>
          <w:p w14:paraId="6EEA07C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Consultants </w:t>
            </w:r>
          </w:p>
          <w:p w14:paraId="23386F60">
            <w:pPr>
              <w:spacing w:after="0" w:line="240" w:lineRule="auto"/>
              <w:rPr>
                <w:rFonts w:ascii="SimSun" w:hAnsi="SimSun" w:eastAsia="SimSun" w:cs="Times New Roman"/>
                <w:kern w:val="2"/>
                <w:sz w:val="24"/>
                <w:szCs w:val="24"/>
                <w:lang w:eastAsia="en-GB"/>
                <w14:ligatures w14:val="standardContextual"/>
              </w:rPr>
            </w:pPr>
          </w:p>
        </w:tc>
        <w:tc>
          <w:tcPr>
            <w:tcW w:w="1560" w:type="dxa"/>
          </w:tcPr>
          <w:p w14:paraId="47157DE2">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resources</w:t>
            </w:r>
          </w:p>
        </w:tc>
        <w:tc>
          <w:tcPr>
            <w:tcW w:w="2268" w:type="dxa"/>
          </w:tcPr>
          <w:p w14:paraId="1E8B0FE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Fiscal discipline</w:t>
            </w:r>
          </w:p>
          <w:p w14:paraId="57EF0C94">
            <w:pPr>
              <w:spacing w:after="0" w:line="240" w:lineRule="auto"/>
              <w:rPr>
                <w:rFonts w:ascii="SimSun" w:hAnsi="SimSun" w:eastAsia="SimSun" w:cs="Times New Roman"/>
                <w:kern w:val="2"/>
                <w:sz w:val="24"/>
                <w:szCs w:val="24"/>
                <w:lang w:eastAsia="en-GB"/>
                <w14:ligatures w14:val="standardContextual"/>
              </w:rPr>
            </w:pPr>
          </w:p>
          <w:p w14:paraId="08C271E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Alumni support</w:t>
            </w:r>
          </w:p>
          <w:p w14:paraId="26990A48">
            <w:pPr>
              <w:spacing w:after="0" w:line="240" w:lineRule="auto"/>
              <w:rPr>
                <w:rFonts w:ascii="SimSun" w:hAnsi="SimSun" w:eastAsia="SimSun" w:cs="Times New Roman"/>
                <w:kern w:val="2"/>
                <w:sz w:val="24"/>
                <w:szCs w:val="24"/>
                <w:lang w:eastAsia="en-GB"/>
                <w14:ligatures w14:val="standardContextual"/>
              </w:rPr>
            </w:pPr>
          </w:p>
          <w:p w14:paraId="582C31B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Endowments</w:t>
            </w:r>
          </w:p>
          <w:p w14:paraId="327B1C5B">
            <w:pPr>
              <w:spacing w:after="0" w:line="240" w:lineRule="auto"/>
              <w:rPr>
                <w:rFonts w:ascii="SimSun" w:hAnsi="SimSun" w:eastAsia="SimSun" w:cs="Times New Roman"/>
                <w:kern w:val="2"/>
                <w:sz w:val="24"/>
                <w:szCs w:val="24"/>
                <w:lang w:eastAsia="en-GB"/>
                <w14:ligatures w14:val="standardContextual"/>
              </w:rPr>
            </w:pPr>
          </w:p>
          <w:p w14:paraId="37FBACB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Gifts</w:t>
            </w:r>
          </w:p>
        </w:tc>
      </w:tr>
      <w:tr w14:paraId="1DE4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0FBF0FE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Infrastructural Development </w:t>
            </w:r>
          </w:p>
        </w:tc>
        <w:tc>
          <w:tcPr>
            <w:tcW w:w="3118" w:type="dxa"/>
          </w:tcPr>
          <w:p w14:paraId="2FD1326F">
            <w:p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The construction of an earth dam for water sustainability </w:t>
            </w:r>
          </w:p>
        </w:tc>
        <w:tc>
          <w:tcPr>
            <w:tcW w:w="1559" w:type="dxa"/>
          </w:tcPr>
          <w:p w14:paraId="0788A44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20138E2A">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PP &amp; DD</w:t>
            </w:r>
          </w:p>
          <w:p w14:paraId="2941AE9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Works and Services</w:t>
            </w:r>
          </w:p>
          <w:p w14:paraId="57D3755A">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Directorate of Linkages </w:t>
            </w:r>
          </w:p>
        </w:tc>
        <w:tc>
          <w:tcPr>
            <w:tcW w:w="1560" w:type="dxa"/>
          </w:tcPr>
          <w:p w14:paraId="6649D4C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funds</w:t>
            </w:r>
          </w:p>
        </w:tc>
        <w:tc>
          <w:tcPr>
            <w:tcW w:w="2268" w:type="dxa"/>
          </w:tcPr>
          <w:p w14:paraId="3974193A">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Federal Ministry of Water Resources</w:t>
            </w:r>
          </w:p>
          <w:p w14:paraId="35F89E7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Laise with National Assembly and other MDAs for constituency projects   </w:t>
            </w:r>
          </w:p>
        </w:tc>
      </w:tr>
      <w:tr w14:paraId="71C6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70B643E4">
            <w:pPr>
              <w:spacing w:after="0" w:line="240" w:lineRule="auto"/>
              <w:rPr>
                <w:rFonts w:ascii="SimSun" w:hAnsi="SimSun" w:eastAsia="SimSun" w:cs="Times New Roman"/>
                <w:kern w:val="2"/>
                <w:sz w:val="24"/>
                <w:szCs w:val="24"/>
                <w:lang w:eastAsia="en-GB"/>
                <w14:ligatures w14:val="standardContextual"/>
              </w:rPr>
            </w:pPr>
            <w:bookmarkStart w:id="12" w:name="_Hlk208716145"/>
            <w:r>
              <w:rPr>
                <w:rFonts w:ascii="SimSun" w:hAnsi="SimSun" w:eastAsia="SimSun" w:cs="Times New Roman"/>
                <w:kern w:val="2"/>
                <w:sz w:val="24"/>
                <w:szCs w:val="24"/>
                <w:lang w:eastAsia="en-GB"/>
                <w14:ligatures w14:val="standardContextual"/>
              </w:rPr>
              <w:t xml:space="preserve">Environmental Infrastructure  </w:t>
            </w:r>
          </w:p>
        </w:tc>
        <w:tc>
          <w:tcPr>
            <w:tcW w:w="3118" w:type="dxa"/>
          </w:tcPr>
          <w:p w14:paraId="1B576F4D">
            <w:pPr>
              <w:numPr>
                <w:ilvl w:val="0"/>
                <w:numId w:val="16"/>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Construction of walk ways,</w:t>
            </w:r>
          </w:p>
          <w:p w14:paraId="04559EFD">
            <w:pPr>
              <w:numPr>
                <w:ilvl w:val="0"/>
                <w:numId w:val="16"/>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Physical Planning</w:t>
            </w:r>
          </w:p>
          <w:p w14:paraId="63C1045C">
            <w:pPr>
              <w:numPr>
                <w:ilvl w:val="0"/>
                <w:numId w:val="16"/>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Demarcation of Green spaces</w:t>
            </w:r>
          </w:p>
          <w:p w14:paraId="7ED11CF4">
            <w:pPr>
              <w:numPr>
                <w:ilvl w:val="0"/>
                <w:numId w:val="16"/>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Demarcation of students’ bus parks </w:t>
            </w:r>
          </w:p>
          <w:p w14:paraId="3750AD2F">
            <w:pPr>
              <w:numPr>
                <w:ilvl w:val="0"/>
                <w:numId w:val="16"/>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Construction of University Road Network</w:t>
            </w:r>
          </w:p>
          <w:p w14:paraId="2D10B752">
            <w:pPr>
              <w:spacing w:after="0" w:line="240" w:lineRule="auto"/>
              <w:ind w:left="720"/>
              <w:contextualSpacing/>
              <w:rPr>
                <w:rFonts w:ascii="SimSun" w:hAnsi="SimSun" w:eastAsia="SimSun" w:cs="Times New Roman"/>
                <w:kern w:val="2"/>
                <w:sz w:val="24"/>
                <w:szCs w:val="24"/>
                <w:lang w:eastAsia="en-GB"/>
                <w14:ligatures w14:val="standardContextual"/>
              </w:rPr>
            </w:pPr>
          </w:p>
        </w:tc>
        <w:tc>
          <w:tcPr>
            <w:tcW w:w="1559" w:type="dxa"/>
          </w:tcPr>
          <w:p w14:paraId="7555970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6F91053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PP &amp; DD</w:t>
            </w:r>
          </w:p>
          <w:p w14:paraId="29822F6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Works and Services</w:t>
            </w:r>
          </w:p>
        </w:tc>
        <w:tc>
          <w:tcPr>
            <w:tcW w:w="1560" w:type="dxa"/>
          </w:tcPr>
          <w:p w14:paraId="02615837">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funds</w:t>
            </w:r>
          </w:p>
        </w:tc>
        <w:tc>
          <w:tcPr>
            <w:tcW w:w="2268" w:type="dxa"/>
          </w:tcPr>
          <w:p w14:paraId="6B81E8A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IGR</w:t>
            </w:r>
          </w:p>
        </w:tc>
      </w:tr>
      <w:tr w14:paraId="6597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6274C4F1">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Staff Welfare </w:t>
            </w:r>
          </w:p>
        </w:tc>
        <w:tc>
          <w:tcPr>
            <w:tcW w:w="3118" w:type="dxa"/>
          </w:tcPr>
          <w:p w14:paraId="34B43907">
            <w:pPr>
              <w:numPr>
                <w:ilvl w:val="0"/>
                <w:numId w:val="17"/>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Build Staff Recreational Centre in Felele </w:t>
            </w:r>
          </w:p>
          <w:p w14:paraId="00FC9578">
            <w:pPr>
              <w:numPr>
                <w:ilvl w:val="0"/>
                <w:numId w:val="17"/>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Build a Staff Club in Felele</w:t>
            </w:r>
          </w:p>
          <w:p w14:paraId="74FEBA7D">
            <w:pPr>
              <w:numPr>
                <w:ilvl w:val="0"/>
                <w:numId w:val="17"/>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Institutionalise </w:t>
            </w:r>
            <w:r>
              <w:rPr>
                <w:rFonts w:ascii="SimSun" w:hAnsi="SimSun" w:eastAsia="SimSun" w:cs="Times New Roman"/>
                <w:b/>
                <w:bCs/>
                <w:kern w:val="2"/>
                <w:sz w:val="24"/>
                <w:szCs w:val="24"/>
                <w:lang w:eastAsia="en-GB"/>
                <w14:ligatures w14:val="standardContextual"/>
              </w:rPr>
              <w:t>Hall of Fame</w:t>
            </w:r>
            <w:r>
              <w:rPr>
                <w:rFonts w:ascii="SimSun" w:hAnsi="SimSun" w:eastAsia="SimSun" w:cs="Times New Roman"/>
                <w:kern w:val="2"/>
                <w:sz w:val="24"/>
                <w:szCs w:val="24"/>
                <w:lang w:eastAsia="en-GB"/>
                <w14:ligatures w14:val="standardContextual"/>
              </w:rPr>
              <w:t xml:space="preserve"> and performance-based incentives  </w:t>
            </w:r>
          </w:p>
        </w:tc>
        <w:tc>
          <w:tcPr>
            <w:tcW w:w="1559" w:type="dxa"/>
          </w:tcPr>
          <w:p w14:paraId="6B453975">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59BA200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PP &amp; DD</w:t>
            </w:r>
          </w:p>
          <w:p w14:paraId="546BCDB6">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Works and Services</w:t>
            </w:r>
          </w:p>
          <w:p w14:paraId="46BFB428">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Ceremonials Committee</w:t>
            </w:r>
          </w:p>
        </w:tc>
        <w:tc>
          <w:tcPr>
            <w:tcW w:w="1560" w:type="dxa"/>
          </w:tcPr>
          <w:p w14:paraId="436F31B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funds</w:t>
            </w:r>
          </w:p>
        </w:tc>
        <w:tc>
          <w:tcPr>
            <w:tcW w:w="2268" w:type="dxa"/>
          </w:tcPr>
          <w:p w14:paraId="1BD3AC8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Corporate buy-in and support.</w:t>
            </w:r>
          </w:p>
          <w:p w14:paraId="228F59FE">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PPP</w:t>
            </w:r>
          </w:p>
          <w:p w14:paraId="707C24A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Endowments</w:t>
            </w:r>
          </w:p>
        </w:tc>
      </w:tr>
      <w:tr w14:paraId="7D77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7A858050">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Library </w:t>
            </w:r>
          </w:p>
        </w:tc>
        <w:tc>
          <w:tcPr>
            <w:tcW w:w="3118" w:type="dxa"/>
          </w:tcPr>
          <w:p w14:paraId="6E986775">
            <w:pPr>
              <w:spacing w:after="0" w:line="240" w:lineRule="auto"/>
              <w:ind w:left="720"/>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Book Endowments: go. abooking  </w:t>
            </w:r>
          </w:p>
          <w:p w14:paraId="67C5F102">
            <w:pPr>
              <w:spacing w:after="0" w:line="240" w:lineRule="auto"/>
              <w:ind w:left="720"/>
              <w:contextualSpacing/>
              <w:rPr>
                <w:rFonts w:ascii="SimSun" w:hAnsi="SimSun" w:eastAsia="SimSun" w:cs="Times New Roman"/>
                <w:kern w:val="2"/>
                <w:sz w:val="24"/>
                <w:szCs w:val="24"/>
                <w:lang w:eastAsia="en-GB"/>
                <w14:ligatures w14:val="standardContextual"/>
              </w:rPr>
            </w:pPr>
          </w:p>
          <w:p w14:paraId="2FBBBD28">
            <w:pPr>
              <w:spacing w:after="0" w:line="240" w:lineRule="auto"/>
              <w:ind w:left="720"/>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Massive mobilisation of retired academics for book endowments</w:t>
            </w:r>
          </w:p>
        </w:tc>
        <w:tc>
          <w:tcPr>
            <w:tcW w:w="1559" w:type="dxa"/>
          </w:tcPr>
          <w:p w14:paraId="505482CB">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552A88BA">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University Librarian</w:t>
            </w:r>
          </w:p>
          <w:p w14:paraId="5BCC1F63">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University Endowment Committee</w:t>
            </w:r>
          </w:p>
        </w:tc>
        <w:tc>
          <w:tcPr>
            <w:tcW w:w="1560" w:type="dxa"/>
          </w:tcPr>
          <w:p w14:paraId="40DCEE4F">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funds</w:t>
            </w:r>
          </w:p>
        </w:tc>
        <w:tc>
          <w:tcPr>
            <w:tcW w:w="2268" w:type="dxa"/>
          </w:tcPr>
          <w:p w14:paraId="76AF2244">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Corporate buy-in</w:t>
            </w:r>
          </w:p>
          <w:p w14:paraId="37C2752D">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Aggressive networking</w:t>
            </w:r>
          </w:p>
          <w:p w14:paraId="3A161D89">
            <w:pPr>
              <w:spacing w:after="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Incentivise endowments</w:t>
            </w:r>
          </w:p>
        </w:tc>
      </w:tr>
      <w:bookmarkEnd w:id="12"/>
    </w:tbl>
    <w:tbl>
      <w:tblPr>
        <w:tblStyle w:val="19"/>
        <w:tblpPr w:leftFromText="180" w:rightFromText="180" w:vertAnchor="text" w:horzAnchor="margin" w:tblpXSpec="center" w:tblpY="-4087"/>
        <w:tblW w:w="11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2976"/>
        <w:gridCol w:w="2136"/>
        <w:gridCol w:w="1896"/>
        <w:gridCol w:w="1656"/>
      </w:tblGrid>
      <w:tr w14:paraId="3146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16" w:type="dxa"/>
          </w:tcPr>
          <w:p w14:paraId="788AC137">
            <w:pPr>
              <w:spacing w:after="0" w:line="240" w:lineRule="auto"/>
              <w:rPr>
                <w:rFonts w:ascii="SimSun" w:hAnsi="SimSun" w:eastAsia="SimSun"/>
                <w:b/>
                <w:bCs/>
                <w:kern w:val="2"/>
                <w:sz w:val="24"/>
                <w:szCs w:val="24"/>
                <w14:ligatures w14:val="standardContextual"/>
              </w:rPr>
            </w:pPr>
            <w:r>
              <w:rPr>
                <w:rFonts w:ascii="SimSun" w:hAnsi="SimSun" w:eastAsia="SimSun"/>
                <w:b/>
                <w:bCs/>
                <w:kern w:val="2"/>
                <w:sz w:val="24"/>
                <w:szCs w:val="24"/>
                <w14:ligatures w14:val="standardContextual"/>
              </w:rPr>
              <w:t>Strategic Priority</w:t>
            </w:r>
          </w:p>
        </w:tc>
        <w:tc>
          <w:tcPr>
            <w:tcW w:w="2976" w:type="dxa"/>
          </w:tcPr>
          <w:p w14:paraId="7E23655F">
            <w:pPr>
              <w:spacing w:after="0" w:line="240" w:lineRule="auto"/>
              <w:rPr>
                <w:rFonts w:ascii="SimSun" w:hAnsi="SimSun" w:eastAsia="SimSun"/>
                <w:b/>
                <w:bCs/>
                <w:kern w:val="2"/>
                <w:sz w:val="24"/>
                <w:szCs w:val="24"/>
                <w14:ligatures w14:val="standardContextual"/>
              </w:rPr>
            </w:pPr>
            <w:r>
              <w:rPr>
                <w:rFonts w:ascii="SimSun" w:hAnsi="SimSun" w:eastAsia="SimSun"/>
                <w:b/>
                <w:bCs/>
                <w:kern w:val="2"/>
                <w:sz w:val="24"/>
                <w:szCs w:val="24"/>
                <w14:ligatures w14:val="standardContextual"/>
              </w:rPr>
              <w:t>Targets &amp; Goals</w:t>
            </w:r>
          </w:p>
        </w:tc>
        <w:tc>
          <w:tcPr>
            <w:tcW w:w="2136" w:type="dxa"/>
          </w:tcPr>
          <w:p w14:paraId="2EF4DA3C">
            <w:pPr>
              <w:spacing w:after="0" w:line="240" w:lineRule="auto"/>
              <w:rPr>
                <w:rFonts w:hint="default" w:ascii="SimSun" w:hAnsi="SimSun" w:eastAsia="SimSun"/>
                <w:b/>
                <w:bCs/>
                <w:kern w:val="2"/>
                <w:sz w:val="24"/>
                <w:szCs w:val="24"/>
                <w:lang w:val="en-GB"/>
                <w14:ligatures w14:val="standardContextual"/>
              </w:rPr>
            </w:pPr>
            <w:r>
              <w:rPr>
                <w:rFonts w:ascii="SimSun" w:hAnsi="SimSun" w:eastAsia="SimSun"/>
                <w:b/>
                <w:bCs/>
                <w:kern w:val="2"/>
                <w:sz w:val="24"/>
                <w:szCs w:val="24"/>
                <w14:ligatures w14:val="standardContextual"/>
              </w:rPr>
              <w:t xml:space="preserve">Responsible </w:t>
            </w:r>
            <w:r>
              <w:rPr>
                <w:rFonts w:hint="default" w:ascii="SimSun" w:hAnsi="SimSun" w:eastAsia="SimSun"/>
                <w:b/>
                <w:bCs/>
                <w:kern w:val="2"/>
                <w:sz w:val="24"/>
                <w:szCs w:val="24"/>
                <w:lang w:val="en-GB"/>
                <w14:ligatures w14:val="standardContextual"/>
              </w:rPr>
              <w:t xml:space="preserve">Actors </w:t>
            </w:r>
          </w:p>
        </w:tc>
        <w:tc>
          <w:tcPr>
            <w:tcW w:w="0" w:type="auto"/>
          </w:tcPr>
          <w:p w14:paraId="0264F8DB">
            <w:pPr>
              <w:spacing w:after="0" w:line="240" w:lineRule="auto"/>
              <w:rPr>
                <w:rFonts w:ascii="SimSun" w:hAnsi="SimSun" w:eastAsia="SimSun"/>
                <w:b/>
                <w:bCs/>
                <w:kern w:val="2"/>
                <w:sz w:val="24"/>
                <w:szCs w:val="24"/>
                <w14:ligatures w14:val="standardContextual"/>
              </w:rPr>
            </w:pPr>
            <w:r>
              <w:rPr>
                <w:rFonts w:ascii="SimSun" w:hAnsi="SimSun" w:eastAsia="SimSun"/>
                <w:b/>
                <w:bCs/>
                <w:kern w:val="2"/>
                <w:sz w:val="24"/>
                <w:szCs w:val="24"/>
                <w14:ligatures w14:val="standardContextual"/>
              </w:rPr>
              <w:t>Risks</w:t>
            </w:r>
          </w:p>
        </w:tc>
        <w:tc>
          <w:tcPr>
            <w:tcW w:w="1656" w:type="dxa"/>
          </w:tcPr>
          <w:p w14:paraId="76ABA0DA">
            <w:pPr>
              <w:spacing w:after="0" w:line="240" w:lineRule="auto"/>
              <w:rPr>
                <w:rFonts w:ascii="SimSun" w:hAnsi="SimSun" w:eastAsia="SimSun"/>
                <w:b/>
                <w:bCs/>
                <w:kern w:val="2"/>
                <w:sz w:val="24"/>
                <w:szCs w:val="24"/>
                <w14:ligatures w14:val="standardContextual"/>
              </w:rPr>
            </w:pPr>
            <w:r>
              <w:rPr>
                <w:rFonts w:ascii="SimSun" w:hAnsi="SimSun" w:eastAsia="SimSun"/>
                <w:b/>
                <w:bCs/>
                <w:kern w:val="2"/>
                <w:sz w:val="24"/>
                <w:szCs w:val="24"/>
                <w14:ligatures w14:val="standardContextual"/>
              </w:rPr>
              <w:t>Mitigation</w:t>
            </w:r>
          </w:p>
        </w:tc>
      </w:tr>
      <w:tr w14:paraId="5828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tcPr>
          <w:p w14:paraId="0440AD5F">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Centres of Excellence</w:t>
            </w:r>
          </w:p>
        </w:tc>
        <w:tc>
          <w:tcPr>
            <w:tcW w:w="2976" w:type="dxa"/>
          </w:tcPr>
          <w:p w14:paraId="4047C76A">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Establish 4 Centres of Excellence:      </w:t>
            </w:r>
          </w:p>
          <w:p w14:paraId="1CBA064D">
            <w:pPr>
              <w:spacing w:after="0" w:line="240" w:lineRule="auto"/>
              <w:rPr>
                <w:rFonts w:ascii="SimSun" w:hAnsi="SimSun" w:eastAsia="SimSun"/>
                <w:kern w:val="2"/>
                <w:sz w:val="24"/>
                <w:szCs w:val="24"/>
                <w14:ligatures w14:val="standardContextual"/>
              </w:rPr>
            </w:pPr>
          </w:p>
          <w:p w14:paraId="279074D1">
            <w:pPr>
              <w:numPr>
                <w:ilvl w:val="0"/>
                <w:numId w:val="18"/>
              </w:num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Research Residency and Exchange Programme </w:t>
            </w:r>
          </w:p>
          <w:p w14:paraId="6BDE3C48">
            <w:pPr>
              <w:numPr>
                <w:ilvl w:val="0"/>
                <w:numId w:val="18"/>
              </w:num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Centre for Renewable Energy and Environmental Sustainability</w:t>
            </w:r>
          </w:p>
          <w:p w14:paraId="47BB8580">
            <w:pPr>
              <w:numPr>
                <w:ilvl w:val="0"/>
                <w:numId w:val="18"/>
              </w:num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Centre of Excellence in Entrepreneurship, </w:t>
            </w:r>
          </w:p>
          <w:p w14:paraId="7FFD5657">
            <w:pPr>
              <w:numPr>
                <w:ilvl w:val="0"/>
                <w:numId w:val="18"/>
              </w:num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Centre for Peace and Conflict Resolution</w:t>
            </w:r>
          </w:p>
          <w:p w14:paraId="34E63574">
            <w:pPr>
              <w:numPr>
                <w:ilvl w:val="0"/>
                <w:numId w:val="18"/>
              </w:num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Centre of Excellence in creativity, culture, art, performance and cinematography </w:t>
            </w:r>
          </w:p>
        </w:tc>
        <w:tc>
          <w:tcPr>
            <w:tcW w:w="2136" w:type="dxa"/>
          </w:tcPr>
          <w:p w14:paraId="7E9D61B4">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VC</w:t>
            </w:r>
          </w:p>
          <w:p w14:paraId="76BA29ED">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Senate</w:t>
            </w:r>
          </w:p>
          <w:p w14:paraId="5EE76CE5">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DVC Academic</w:t>
            </w:r>
          </w:p>
          <w:p w14:paraId="6F497A82">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Directorate of Linkages</w:t>
            </w:r>
          </w:p>
          <w:p w14:paraId="70EDCDF3">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 Deans</w:t>
            </w:r>
          </w:p>
        </w:tc>
        <w:tc>
          <w:tcPr>
            <w:tcW w:w="0" w:type="auto"/>
          </w:tcPr>
          <w:p w14:paraId="6E02E5E0">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Sustainability challenges</w:t>
            </w:r>
          </w:p>
        </w:tc>
        <w:tc>
          <w:tcPr>
            <w:tcW w:w="1656" w:type="dxa"/>
          </w:tcPr>
          <w:p w14:paraId="0039B34C">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External grants; partnerships</w:t>
            </w:r>
          </w:p>
          <w:p w14:paraId="40A013E5">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Benchmarking global institutions</w:t>
            </w:r>
          </w:p>
        </w:tc>
      </w:tr>
      <w:tr w14:paraId="6453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tcPr>
          <w:p w14:paraId="14C43768">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Postgraduate Studies</w:t>
            </w:r>
          </w:p>
        </w:tc>
        <w:tc>
          <w:tcPr>
            <w:tcW w:w="2976" w:type="dxa"/>
          </w:tcPr>
          <w:p w14:paraId="468E4D9F">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Double postgraduate enrolments</w:t>
            </w:r>
          </w:p>
          <w:p w14:paraId="5C44B97B">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 Strengthen quality assurance</w:t>
            </w:r>
          </w:p>
        </w:tc>
        <w:tc>
          <w:tcPr>
            <w:tcW w:w="2136" w:type="dxa"/>
          </w:tcPr>
          <w:p w14:paraId="538C9307">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VC</w:t>
            </w:r>
          </w:p>
          <w:p w14:paraId="52F14A3C">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Senate </w:t>
            </w:r>
          </w:p>
          <w:p w14:paraId="0DB9BFB5">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College of Postgraduate Studies</w:t>
            </w:r>
          </w:p>
        </w:tc>
        <w:tc>
          <w:tcPr>
            <w:tcW w:w="0" w:type="auto"/>
          </w:tcPr>
          <w:p w14:paraId="29FC496A">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Limited supervisors</w:t>
            </w:r>
          </w:p>
        </w:tc>
        <w:tc>
          <w:tcPr>
            <w:tcW w:w="1656" w:type="dxa"/>
          </w:tcPr>
          <w:p w14:paraId="4E9925FF">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Staff training; external examiners</w:t>
            </w:r>
          </w:p>
        </w:tc>
      </w:tr>
      <w:tr w14:paraId="7800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tcPr>
          <w:p w14:paraId="756996A8">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Internationalization</w:t>
            </w:r>
          </w:p>
        </w:tc>
        <w:tc>
          <w:tcPr>
            <w:tcW w:w="2976" w:type="dxa"/>
          </w:tcPr>
          <w:p w14:paraId="6EC5B053">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MoUs with African &amp; global universities</w:t>
            </w:r>
          </w:p>
          <w:p w14:paraId="310A65C0">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Host international conferences</w:t>
            </w:r>
          </w:p>
        </w:tc>
        <w:tc>
          <w:tcPr>
            <w:tcW w:w="2136" w:type="dxa"/>
          </w:tcPr>
          <w:p w14:paraId="76EE4B7E">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DVC Academics, Intl Office</w:t>
            </w:r>
          </w:p>
        </w:tc>
        <w:tc>
          <w:tcPr>
            <w:tcW w:w="0" w:type="auto"/>
          </w:tcPr>
          <w:p w14:paraId="2ED30B53">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Low response</w:t>
            </w:r>
          </w:p>
        </w:tc>
        <w:tc>
          <w:tcPr>
            <w:tcW w:w="1656" w:type="dxa"/>
          </w:tcPr>
          <w:p w14:paraId="71662E04">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Leverage personal networks; visibility drive through ICT</w:t>
            </w:r>
          </w:p>
        </w:tc>
      </w:tr>
      <w:tr w14:paraId="6E3C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tcPr>
          <w:p w14:paraId="3B8479D1">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Innovation Hub</w:t>
            </w:r>
          </w:p>
        </w:tc>
        <w:tc>
          <w:tcPr>
            <w:tcW w:w="2976" w:type="dxa"/>
          </w:tcPr>
          <w:p w14:paraId="64420F61">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Launch Innovation &amp; Entrepreneurship Hub/Studio; incubate student/ staff startups</w:t>
            </w:r>
          </w:p>
        </w:tc>
        <w:tc>
          <w:tcPr>
            <w:tcW w:w="2136" w:type="dxa"/>
          </w:tcPr>
          <w:p w14:paraId="5554EEE1">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VC’s Office, Entrepreneurship Centre</w:t>
            </w:r>
          </w:p>
        </w:tc>
        <w:tc>
          <w:tcPr>
            <w:tcW w:w="0" w:type="auto"/>
          </w:tcPr>
          <w:p w14:paraId="365D0422">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Weak industry linkage</w:t>
            </w:r>
          </w:p>
        </w:tc>
        <w:tc>
          <w:tcPr>
            <w:tcW w:w="1656" w:type="dxa"/>
          </w:tcPr>
          <w:p w14:paraId="29745063">
            <w:pPr>
              <w:spacing w:after="0" w:line="240"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Industry advisory board; local partnerships</w:t>
            </w:r>
          </w:p>
        </w:tc>
      </w:tr>
      <w:tr w14:paraId="23F1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tcPr>
          <w:p w14:paraId="2B2F982A">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Physical Infrastructural</w:t>
            </w:r>
          </w:p>
        </w:tc>
        <w:tc>
          <w:tcPr>
            <w:tcW w:w="2976" w:type="dxa"/>
          </w:tcPr>
          <w:p w14:paraId="5BED57B3">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Construction of at least two 1000-capacity theatres and four  blocks of staff offices</w:t>
            </w:r>
          </w:p>
        </w:tc>
        <w:tc>
          <w:tcPr>
            <w:tcW w:w="2136" w:type="dxa"/>
          </w:tcPr>
          <w:p w14:paraId="3B4A6311">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Governing Council </w:t>
            </w:r>
          </w:p>
          <w:p w14:paraId="2FC75260">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TETFund</w:t>
            </w:r>
          </w:p>
          <w:p w14:paraId="0CB0067E">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PP&amp;DD</w:t>
            </w:r>
          </w:p>
          <w:p w14:paraId="57F5CC8A">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Directorate of Works &amp; Services </w:t>
            </w:r>
          </w:p>
        </w:tc>
        <w:tc>
          <w:tcPr>
            <w:tcW w:w="0" w:type="auto"/>
          </w:tcPr>
          <w:p w14:paraId="0BB4AFE4">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Limited Funds </w:t>
            </w:r>
          </w:p>
        </w:tc>
        <w:tc>
          <w:tcPr>
            <w:tcW w:w="1656" w:type="dxa"/>
          </w:tcPr>
          <w:p w14:paraId="2DCC6491">
            <w:pPr>
              <w:spacing w:after="0" w:line="259" w:lineRule="auto"/>
              <w:rPr>
                <w:rFonts w:ascii="SimSun" w:hAnsi="SimSun" w:eastAsia="SimSun"/>
                <w:kern w:val="2"/>
                <w:sz w:val="24"/>
                <w:szCs w:val="24"/>
                <w14:ligatures w14:val="standardContextual"/>
              </w:rPr>
            </w:pPr>
          </w:p>
          <w:p w14:paraId="153AE4FF">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Leverage Council network</w:t>
            </w:r>
          </w:p>
          <w:p w14:paraId="0F6FC7B5">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Leverage VC social capital </w:t>
            </w:r>
          </w:p>
          <w:p w14:paraId="4E4D1FA7">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Directorate of Linkages</w:t>
            </w:r>
          </w:p>
          <w:p w14:paraId="7FC42CA5">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Alumni</w:t>
            </w:r>
          </w:p>
        </w:tc>
      </w:tr>
      <w:tr w14:paraId="3F09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dxa"/>
          </w:tcPr>
          <w:p w14:paraId="0A97DE9C">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Staff Welfare </w:t>
            </w:r>
          </w:p>
        </w:tc>
        <w:tc>
          <w:tcPr>
            <w:tcW w:w="2976" w:type="dxa"/>
          </w:tcPr>
          <w:p w14:paraId="7F43B5E0">
            <w:pPr>
              <w:numPr>
                <w:ilvl w:val="0"/>
                <w:numId w:val="19"/>
              </w:num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Mass Transit for University Transportation for staff and students </w:t>
            </w:r>
          </w:p>
          <w:p w14:paraId="63A53CD9">
            <w:pPr>
              <w:numPr>
                <w:ilvl w:val="0"/>
                <w:numId w:val="19"/>
              </w:num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Green Keke Tricycles for on-campus movement </w:t>
            </w:r>
          </w:p>
          <w:p w14:paraId="551C2F04">
            <w:pPr>
              <w:numPr>
                <w:ilvl w:val="0"/>
                <w:numId w:val="19"/>
              </w:num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 xml:space="preserve">Mass on-campus housing at Felele for staff  </w:t>
            </w:r>
          </w:p>
          <w:p w14:paraId="354492A8">
            <w:pPr>
              <w:spacing w:after="0" w:line="259" w:lineRule="auto"/>
              <w:rPr>
                <w:rFonts w:ascii="SimSun" w:hAnsi="SimSun" w:eastAsia="SimSun"/>
                <w:kern w:val="2"/>
                <w:sz w:val="24"/>
                <w:szCs w:val="24"/>
                <w14:ligatures w14:val="standardContextual"/>
              </w:rPr>
            </w:pPr>
          </w:p>
        </w:tc>
        <w:tc>
          <w:tcPr>
            <w:tcW w:w="2136" w:type="dxa"/>
          </w:tcPr>
          <w:p w14:paraId="22BB0795">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VC</w:t>
            </w:r>
          </w:p>
          <w:p w14:paraId="7C1E9CB7">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Staff unions</w:t>
            </w:r>
          </w:p>
          <w:p w14:paraId="3D6F2486">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Co-operative societies</w:t>
            </w:r>
          </w:p>
        </w:tc>
        <w:tc>
          <w:tcPr>
            <w:tcW w:w="0" w:type="auto"/>
          </w:tcPr>
          <w:p w14:paraId="6BD8EEE3">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Limited funds</w:t>
            </w:r>
          </w:p>
        </w:tc>
        <w:tc>
          <w:tcPr>
            <w:tcW w:w="1656" w:type="dxa"/>
          </w:tcPr>
          <w:p w14:paraId="7C515BDE">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PPP</w:t>
            </w:r>
          </w:p>
          <w:p w14:paraId="583E58F2">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Federal Mortgage Bank</w:t>
            </w:r>
          </w:p>
          <w:p w14:paraId="6AE71B25">
            <w:pPr>
              <w:spacing w:after="0" w:line="259" w:lineRule="auto"/>
              <w:rPr>
                <w:rFonts w:ascii="SimSun" w:hAnsi="SimSun" w:eastAsia="SimSun"/>
                <w:kern w:val="2"/>
                <w:sz w:val="24"/>
                <w:szCs w:val="24"/>
                <w14:ligatures w14:val="standardContextual"/>
              </w:rPr>
            </w:pPr>
            <w:r>
              <w:rPr>
                <w:rFonts w:ascii="SimSun" w:hAnsi="SimSun" w:eastAsia="SimSun"/>
                <w:kern w:val="2"/>
                <w:sz w:val="24"/>
                <w:szCs w:val="24"/>
                <w14:ligatures w14:val="standardContextual"/>
              </w:rPr>
              <w:t>Cooperative societies</w:t>
            </w:r>
          </w:p>
        </w:tc>
      </w:tr>
    </w:tbl>
    <w:p w14:paraId="6420E6AF">
      <w:pPr>
        <w:spacing w:after="0"/>
        <w:rPr>
          <w:rFonts w:ascii="SimSun" w:hAnsi="SimSun" w:eastAsia="SimSun"/>
          <w:sz w:val="24"/>
          <w:szCs w:val="24"/>
        </w:rPr>
      </w:pPr>
    </w:p>
    <w:p w14:paraId="5D3EBEB5">
      <w:pPr>
        <w:spacing w:after="0"/>
        <w:rPr>
          <w:rFonts w:ascii="SimSun" w:hAnsi="SimSun" w:eastAsia="SimSun"/>
          <w:sz w:val="24"/>
          <w:szCs w:val="24"/>
        </w:rPr>
      </w:pPr>
    </w:p>
    <w:p w14:paraId="4B271E9D">
      <w:pPr>
        <w:spacing w:after="0"/>
        <w:jc w:val="both"/>
        <w:rPr>
          <w:rFonts w:ascii="SimSun" w:hAnsi="SimSun" w:eastAsia="SimSun"/>
          <w:b/>
          <w:bCs/>
          <w:sz w:val="28"/>
          <w:szCs w:val="28"/>
        </w:rPr>
      </w:pPr>
      <w:r>
        <w:rPr>
          <w:rFonts w:ascii="SimSun" w:hAnsi="SimSun" w:eastAsia="SimSun"/>
          <w:b/>
          <w:bCs/>
          <w:sz w:val="28"/>
          <w:szCs w:val="28"/>
        </w:rPr>
        <w:t xml:space="preserve">Medium Term </w:t>
      </w:r>
      <w:r>
        <w:rPr>
          <w:rFonts w:hint="default" w:ascii="SimSun" w:hAnsi="SimSun" w:eastAsia="SimSun"/>
          <w:b/>
          <w:bCs/>
          <w:sz w:val="28"/>
          <w:szCs w:val="28"/>
          <w:lang w:val="en-GB"/>
        </w:rPr>
        <w:t xml:space="preserve">Goal </w:t>
      </w:r>
      <w:r>
        <w:rPr>
          <w:rFonts w:ascii="SimSun" w:hAnsi="SimSun" w:eastAsia="SimSun"/>
          <w:b/>
          <w:bCs/>
          <w:sz w:val="28"/>
          <w:szCs w:val="28"/>
        </w:rPr>
        <w:t>(3–4 Years): Consolidation and Global Visibility</w:t>
      </w:r>
    </w:p>
    <w:p w14:paraId="36CE465A">
      <w:pPr>
        <w:spacing w:after="0"/>
        <w:jc w:val="both"/>
        <w:rPr>
          <w:rFonts w:ascii="SimSun" w:hAnsi="SimSun" w:eastAsia="SimSun"/>
          <w:sz w:val="28"/>
          <w:szCs w:val="28"/>
        </w:rPr>
      </w:pPr>
      <w:r>
        <w:rPr>
          <w:rFonts w:ascii="SimSun" w:hAnsi="SimSun" w:eastAsia="SimSun"/>
          <w:sz w:val="28"/>
          <w:szCs w:val="28"/>
        </w:rPr>
        <w:t>Years three to four will consolidate early gains by expanding Centres of Excellence, attracting international collaborations, strengthening postgraduate programmes, infrastructural development, security architecture and investment sustainability. This period will also focus on increasing global visibility through conferences, publications, and innovation hubs.</w:t>
      </w:r>
    </w:p>
    <w:p w14:paraId="226DB1F4">
      <w:pPr>
        <w:spacing w:after="0"/>
        <w:rPr>
          <w:rFonts w:ascii="SimSun" w:hAnsi="SimSun" w:eastAsia="SimSun"/>
          <w:sz w:val="24"/>
          <w:szCs w:val="24"/>
        </w:rPr>
      </w:pPr>
    </w:p>
    <w:tbl>
      <w:tblPr>
        <w:tblStyle w:val="19"/>
        <w:tblW w:w="9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2616"/>
        <w:gridCol w:w="2136"/>
        <w:gridCol w:w="1896"/>
        <w:gridCol w:w="1656"/>
      </w:tblGrid>
      <w:tr w14:paraId="4350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tcPr>
          <w:p w14:paraId="6550AD83">
            <w:pPr>
              <w:spacing w:after="20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Strategic Priority</w:t>
            </w:r>
          </w:p>
        </w:tc>
        <w:tc>
          <w:tcPr>
            <w:tcW w:w="2666" w:type="dxa"/>
          </w:tcPr>
          <w:p w14:paraId="631D6C8E">
            <w:pPr>
              <w:spacing w:after="20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Targets &amp; Goals</w:t>
            </w:r>
          </w:p>
        </w:tc>
        <w:tc>
          <w:tcPr>
            <w:tcW w:w="1901" w:type="dxa"/>
          </w:tcPr>
          <w:p w14:paraId="7ADA67FD">
            <w:pPr>
              <w:spacing w:after="20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Responsible Directorate</w:t>
            </w:r>
          </w:p>
        </w:tc>
        <w:tc>
          <w:tcPr>
            <w:tcW w:w="0" w:type="auto"/>
          </w:tcPr>
          <w:p w14:paraId="27D43E09">
            <w:pPr>
              <w:spacing w:after="20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Risks</w:t>
            </w:r>
          </w:p>
        </w:tc>
        <w:tc>
          <w:tcPr>
            <w:tcW w:w="1589" w:type="dxa"/>
          </w:tcPr>
          <w:p w14:paraId="145CB31E">
            <w:pPr>
              <w:spacing w:after="200" w:line="240"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Mitigation</w:t>
            </w:r>
          </w:p>
        </w:tc>
      </w:tr>
      <w:tr w14:paraId="6CC2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tcPr>
          <w:p w14:paraId="792E789A">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Centres of Excellence</w:t>
            </w:r>
          </w:p>
        </w:tc>
        <w:tc>
          <w:tcPr>
            <w:tcW w:w="2666" w:type="dxa"/>
          </w:tcPr>
          <w:p w14:paraId="06D5A8EE">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Establish 4 Centres of Excellence:      </w:t>
            </w:r>
          </w:p>
          <w:p w14:paraId="4DBE6509">
            <w:pPr>
              <w:spacing w:after="200" w:line="240" w:lineRule="auto"/>
              <w:rPr>
                <w:rFonts w:ascii="SimSun" w:hAnsi="SimSun" w:eastAsia="SimSun" w:cs="Times New Roman"/>
                <w:kern w:val="2"/>
                <w:sz w:val="24"/>
                <w:szCs w:val="24"/>
                <w:lang w:eastAsia="en-GB"/>
                <w14:ligatures w14:val="standardContextual"/>
              </w:rPr>
            </w:pPr>
          </w:p>
          <w:p w14:paraId="1C36FB6A">
            <w:pPr>
              <w:numPr>
                <w:ilvl w:val="0"/>
                <w:numId w:val="18"/>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Research Residency and Exchange Programme </w:t>
            </w:r>
          </w:p>
          <w:p w14:paraId="0457CFA1">
            <w:pPr>
              <w:numPr>
                <w:ilvl w:val="0"/>
                <w:numId w:val="18"/>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Centre for Renewable Energy and Environmental Sustainability</w:t>
            </w:r>
          </w:p>
          <w:p w14:paraId="37C4F6DB">
            <w:pPr>
              <w:numPr>
                <w:ilvl w:val="0"/>
                <w:numId w:val="18"/>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Centre of Excellence in Entrepreneurship, </w:t>
            </w:r>
          </w:p>
          <w:p w14:paraId="1A3EFF36">
            <w:pPr>
              <w:numPr>
                <w:ilvl w:val="0"/>
                <w:numId w:val="18"/>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Centre for Peace and Conflict Resolution</w:t>
            </w:r>
          </w:p>
          <w:p w14:paraId="7DD17150">
            <w:pPr>
              <w:numPr>
                <w:ilvl w:val="0"/>
                <w:numId w:val="18"/>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Centre of Excellence in creativity, culture, art, performance and cinematography </w:t>
            </w:r>
          </w:p>
        </w:tc>
        <w:tc>
          <w:tcPr>
            <w:tcW w:w="1901" w:type="dxa"/>
          </w:tcPr>
          <w:p w14:paraId="66F4FAD4">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5F477F17">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Senate</w:t>
            </w:r>
          </w:p>
          <w:p w14:paraId="54E37AA8">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DVC Academic</w:t>
            </w:r>
          </w:p>
          <w:p w14:paraId="35E56F0D">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Linkages</w:t>
            </w:r>
          </w:p>
          <w:p w14:paraId="3DE20E67">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 Deans</w:t>
            </w:r>
          </w:p>
        </w:tc>
        <w:tc>
          <w:tcPr>
            <w:tcW w:w="0" w:type="auto"/>
          </w:tcPr>
          <w:p w14:paraId="244F669A">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Sustainability challenges</w:t>
            </w:r>
          </w:p>
        </w:tc>
        <w:tc>
          <w:tcPr>
            <w:tcW w:w="1589" w:type="dxa"/>
          </w:tcPr>
          <w:p w14:paraId="151FEBFA">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External grants; partnerships</w:t>
            </w:r>
          </w:p>
          <w:p w14:paraId="04AC9AFC">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Benchmarking global institutions</w:t>
            </w:r>
          </w:p>
        </w:tc>
      </w:tr>
      <w:tr w14:paraId="18C1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tcPr>
          <w:p w14:paraId="774713BD">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Postgraduate Studies</w:t>
            </w:r>
          </w:p>
        </w:tc>
        <w:tc>
          <w:tcPr>
            <w:tcW w:w="2666" w:type="dxa"/>
          </w:tcPr>
          <w:p w14:paraId="7CCD3A02">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Double postgraduate enrolments</w:t>
            </w:r>
          </w:p>
          <w:p w14:paraId="683764C5">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 Strengthen quality assurance</w:t>
            </w:r>
          </w:p>
        </w:tc>
        <w:tc>
          <w:tcPr>
            <w:tcW w:w="1901" w:type="dxa"/>
          </w:tcPr>
          <w:p w14:paraId="3021D81F">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1D6CEF16">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Senate </w:t>
            </w:r>
          </w:p>
          <w:p w14:paraId="771CDFF4">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College of Postgraduate Studies</w:t>
            </w:r>
          </w:p>
        </w:tc>
        <w:tc>
          <w:tcPr>
            <w:tcW w:w="0" w:type="auto"/>
          </w:tcPr>
          <w:p w14:paraId="29C87FFD">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supervisors</w:t>
            </w:r>
          </w:p>
        </w:tc>
        <w:tc>
          <w:tcPr>
            <w:tcW w:w="1589" w:type="dxa"/>
          </w:tcPr>
          <w:p w14:paraId="0BE2D991">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Staff training; external examiners</w:t>
            </w:r>
          </w:p>
        </w:tc>
      </w:tr>
      <w:tr w14:paraId="1351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tcPr>
          <w:p w14:paraId="482EACDE">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Internationalization</w:t>
            </w:r>
          </w:p>
        </w:tc>
        <w:tc>
          <w:tcPr>
            <w:tcW w:w="2666" w:type="dxa"/>
          </w:tcPr>
          <w:p w14:paraId="41AA99AA">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MoUs with African &amp; global universities</w:t>
            </w:r>
          </w:p>
          <w:p w14:paraId="48D5E081">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Host international conferences</w:t>
            </w:r>
          </w:p>
        </w:tc>
        <w:tc>
          <w:tcPr>
            <w:tcW w:w="1901" w:type="dxa"/>
          </w:tcPr>
          <w:p w14:paraId="50129538">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DVC Academics, Intl Office</w:t>
            </w:r>
          </w:p>
        </w:tc>
        <w:tc>
          <w:tcPr>
            <w:tcW w:w="0" w:type="auto"/>
          </w:tcPr>
          <w:p w14:paraId="73F375CF">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Low response</w:t>
            </w:r>
          </w:p>
        </w:tc>
        <w:tc>
          <w:tcPr>
            <w:tcW w:w="1589" w:type="dxa"/>
          </w:tcPr>
          <w:p w14:paraId="5DFB78B0">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Leverage personal networks; visibility drive through ICT</w:t>
            </w:r>
          </w:p>
        </w:tc>
      </w:tr>
      <w:tr w14:paraId="385A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tcPr>
          <w:p w14:paraId="480E6CC1">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Innovation Hub</w:t>
            </w:r>
          </w:p>
        </w:tc>
        <w:tc>
          <w:tcPr>
            <w:tcW w:w="2666" w:type="dxa"/>
          </w:tcPr>
          <w:p w14:paraId="6C6EFE81">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Launch Innovation &amp; Entrepreneurship Hub/Studio; incubate student/ staff startups</w:t>
            </w:r>
          </w:p>
        </w:tc>
        <w:tc>
          <w:tcPr>
            <w:tcW w:w="1901" w:type="dxa"/>
          </w:tcPr>
          <w:p w14:paraId="79268542">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VC’s Office, Entrepreneurship Centre</w:t>
            </w:r>
          </w:p>
        </w:tc>
        <w:tc>
          <w:tcPr>
            <w:tcW w:w="0" w:type="auto"/>
          </w:tcPr>
          <w:p w14:paraId="55D3327B">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Weak industry linkage</w:t>
            </w:r>
          </w:p>
        </w:tc>
        <w:tc>
          <w:tcPr>
            <w:tcW w:w="1589" w:type="dxa"/>
          </w:tcPr>
          <w:p w14:paraId="22447C1E">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Industry advisory board; local partnerships</w:t>
            </w:r>
          </w:p>
        </w:tc>
      </w:tr>
      <w:tr w14:paraId="4A89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tcPr>
          <w:p w14:paraId="794E5816">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Physical Infrastructural</w:t>
            </w:r>
          </w:p>
        </w:tc>
        <w:tc>
          <w:tcPr>
            <w:tcW w:w="2666" w:type="dxa"/>
          </w:tcPr>
          <w:p w14:paraId="4D96422C">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Construction of at least two 1000-capacity theatres and four  blocks of staff offices</w:t>
            </w:r>
          </w:p>
        </w:tc>
        <w:tc>
          <w:tcPr>
            <w:tcW w:w="1901" w:type="dxa"/>
          </w:tcPr>
          <w:p w14:paraId="18756755">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Governing Council </w:t>
            </w:r>
          </w:p>
          <w:p w14:paraId="6B09D715">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TETFund</w:t>
            </w:r>
          </w:p>
          <w:p w14:paraId="738D2B19">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PP&amp;DD</w:t>
            </w:r>
          </w:p>
          <w:p w14:paraId="09BB62A2">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Directorate of Works &amp; Services </w:t>
            </w:r>
          </w:p>
        </w:tc>
        <w:tc>
          <w:tcPr>
            <w:tcW w:w="0" w:type="auto"/>
          </w:tcPr>
          <w:p w14:paraId="74C3A0C3">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Limited Funds </w:t>
            </w:r>
          </w:p>
        </w:tc>
        <w:tc>
          <w:tcPr>
            <w:tcW w:w="1589" w:type="dxa"/>
          </w:tcPr>
          <w:p w14:paraId="0FFB56B9">
            <w:pPr>
              <w:spacing w:after="200" w:line="240" w:lineRule="auto"/>
              <w:rPr>
                <w:rFonts w:ascii="SimSun" w:hAnsi="SimSun" w:eastAsia="SimSun" w:cs="Times New Roman"/>
                <w:kern w:val="2"/>
                <w:sz w:val="24"/>
                <w:szCs w:val="24"/>
                <w:lang w:eastAsia="en-GB"/>
                <w14:ligatures w14:val="standardContextual"/>
              </w:rPr>
            </w:pPr>
          </w:p>
          <w:p w14:paraId="383AB0AE">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Leverage Council network</w:t>
            </w:r>
          </w:p>
          <w:p w14:paraId="3E98C2E7">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Leverage VC social capital </w:t>
            </w:r>
          </w:p>
          <w:p w14:paraId="0579DA88">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Linkages</w:t>
            </w:r>
          </w:p>
          <w:p w14:paraId="2EC1593E">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Alumni</w:t>
            </w:r>
          </w:p>
        </w:tc>
      </w:tr>
      <w:tr w14:paraId="2F2E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9" w:type="dxa"/>
          </w:tcPr>
          <w:p w14:paraId="12EB6589">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Staff Welfare </w:t>
            </w:r>
          </w:p>
        </w:tc>
        <w:tc>
          <w:tcPr>
            <w:tcW w:w="2666" w:type="dxa"/>
          </w:tcPr>
          <w:p w14:paraId="6BA2EFB1">
            <w:pPr>
              <w:numPr>
                <w:ilvl w:val="0"/>
                <w:numId w:val="19"/>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Mass Transit for University Transportation for staff and students </w:t>
            </w:r>
          </w:p>
          <w:p w14:paraId="64D2389C">
            <w:pPr>
              <w:numPr>
                <w:ilvl w:val="0"/>
                <w:numId w:val="19"/>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Green Keke Tricycles for on-campus movement </w:t>
            </w:r>
          </w:p>
          <w:p w14:paraId="6FD2944E">
            <w:pPr>
              <w:numPr>
                <w:ilvl w:val="0"/>
                <w:numId w:val="19"/>
              </w:numPr>
              <w:spacing w:after="0" w:line="240" w:lineRule="auto"/>
              <w:contextualSpacing/>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Mass on-campus housing at Felele for staff  </w:t>
            </w:r>
          </w:p>
        </w:tc>
        <w:tc>
          <w:tcPr>
            <w:tcW w:w="1901" w:type="dxa"/>
          </w:tcPr>
          <w:p w14:paraId="7C907A28">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4DAB3A41">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Staff unions</w:t>
            </w:r>
          </w:p>
          <w:p w14:paraId="3CE6B4D8">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Co-operative societies</w:t>
            </w:r>
          </w:p>
        </w:tc>
        <w:tc>
          <w:tcPr>
            <w:tcW w:w="0" w:type="auto"/>
          </w:tcPr>
          <w:p w14:paraId="79B48527">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Limited funds</w:t>
            </w:r>
          </w:p>
        </w:tc>
        <w:tc>
          <w:tcPr>
            <w:tcW w:w="1589" w:type="dxa"/>
          </w:tcPr>
          <w:p w14:paraId="1D651C56">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PPP</w:t>
            </w:r>
          </w:p>
          <w:p w14:paraId="4AFCC9C3">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Federal Mortgage Bank</w:t>
            </w:r>
          </w:p>
          <w:p w14:paraId="5ED5125B">
            <w:pPr>
              <w:spacing w:after="200" w:line="240"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Cooperative societies</w:t>
            </w:r>
          </w:p>
        </w:tc>
      </w:tr>
    </w:tbl>
    <w:p w14:paraId="18EA3C42">
      <w:pPr>
        <w:spacing w:after="0"/>
        <w:rPr>
          <w:rFonts w:ascii="SimSun" w:hAnsi="SimSun" w:eastAsia="SimSun"/>
          <w:sz w:val="24"/>
          <w:szCs w:val="24"/>
        </w:rPr>
      </w:pPr>
    </w:p>
    <w:p w14:paraId="6D16639A">
      <w:pPr>
        <w:spacing w:after="0"/>
        <w:rPr>
          <w:rFonts w:ascii="SimSun" w:hAnsi="SimSun" w:eastAsia="SimSun"/>
          <w:sz w:val="24"/>
          <w:szCs w:val="24"/>
        </w:rPr>
      </w:pPr>
    </w:p>
    <w:p w14:paraId="0EF7EA8F">
      <w:pPr>
        <w:spacing w:line="278" w:lineRule="auto"/>
        <w:jc w:val="both"/>
        <w:rPr>
          <w:rFonts w:ascii="SimSun" w:hAnsi="SimSun" w:eastAsia="SimSun"/>
          <w:b/>
          <w:bCs/>
          <w:kern w:val="2"/>
          <w:sz w:val="28"/>
          <w:szCs w:val="28"/>
          <w14:ligatures w14:val="standardContextual"/>
        </w:rPr>
      </w:pPr>
      <w:r>
        <w:rPr>
          <w:rFonts w:ascii="SimSun" w:hAnsi="SimSun" w:eastAsia="SimSun"/>
          <w:b/>
          <w:bCs/>
          <w:kern w:val="2"/>
          <w:sz w:val="28"/>
          <w:szCs w:val="28"/>
          <w14:ligatures w14:val="standardContextual"/>
        </w:rPr>
        <w:t xml:space="preserve">Long Term </w:t>
      </w:r>
      <w:r>
        <w:rPr>
          <w:rFonts w:hint="default" w:ascii="SimSun" w:hAnsi="SimSun" w:eastAsia="SimSun"/>
          <w:b/>
          <w:bCs/>
          <w:kern w:val="2"/>
          <w:sz w:val="28"/>
          <w:szCs w:val="28"/>
          <w:lang w:val="en-GB"/>
          <w14:ligatures w14:val="standardContextual"/>
        </w:rPr>
        <w:t xml:space="preserve">Goal </w:t>
      </w:r>
      <w:r>
        <w:rPr>
          <w:rFonts w:ascii="SimSun" w:hAnsi="SimSun" w:eastAsia="SimSun"/>
          <w:b/>
          <w:bCs/>
          <w:kern w:val="2"/>
          <w:sz w:val="28"/>
          <w:szCs w:val="28"/>
          <w14:ligatures w14:val="standardContextual"/>
        </w:rPr>
        <w:t>(5 Years and Beyond): Sustainability and Global Leadership</w:t>
      </w:r>
    </w:p>
    <w:p w14:paraId="57EE1ABB">
      <w:pPr>
        <w:spacing w:before="100" w:beforeAutospacing="1" w:after="200" w:line="273" w:lineRule="auto"/>
        <w:jc w:val="both"/>
        <w:rPr>
          <w:rFonts w:ascii="SimSun" w:hAnsi="SimSun" w:eastAsia="SimSun" w:cs="Times New Roman"/>
          <w:sz w:val="28"/>
          <w:szCs w:val="28"/>
          <w:lang w:eastAsia="en-GB"/>
        </w:rPr>
      </w:pPr>
      <w:r>
        <w:rPr>
          <w:rFonts w:ascii="SimSun" w:hAnsi="SimSun" w:eastAsia="SimSun" w:cs="Times New Roman"/>
          <w:sz w:val="28"/>
          <w:szCs w:val="28"/>
          <w:lang w:eastAsia="en-GB"/>
        </w:rPr>
        <w:t>By the fifth year, my vision is for Federal University Lokoja to be ranked among the leading universities in Nigeria and increasingly recognized in Africa. The focus will be on financial sustainability, global research visibility, and institutionalizing a culture of transparency, inclusiveness, and innovation.</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8"/>
        <w:gridCol w:w="2198"/>
        <w:gridCol w:w="1848"/>
        <w:gridCol w:w="1615"/>
        <w:gridCol w:w="1733"/>
      </w:tblGrid>
      <w:tr w14:paraId="3D16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4846D45">
            <w:pPr>
              <w:spacing w:before="100" w:beforeAutospacing="1" w:after="200" w:line="273"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Strategic Priority</w:t>
            </w:r>
          </w:p>
        </w:tc>
        <w:tc>
          <w:tcPr>
            <w:tcW w:w="0" w:type="auto"/>
          </w:tcPr>
          <w:p w14:paraId="4760DB24">
            <w:pPr>
              <w:spacing w:before="100" w:beforeAutospacing="1" w:after="200" w:line="273"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Targets &amp; Goals</w:t>
            </w:r>
          </w:p>
        </w:tc>
        <w:tc>
          <w:tcPr>
            <w:tcW w:w="0" w:type="auto"/>
          </w:tcPr>
          <w:p w14:paraId="69C3BD35">
            <w:pPr>
              <w:spacing w:before="100" w:beforeAutospacing="1" w:after="200" w:line="273"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Responsible Actors</w:t>
            </w:r>
          </w:p>
        </w:tc>
        <w:tc>
          <w:tcPr>
            <w:tcW w:w="0" w:type="auto"/>
          </w:tcPr>
          <w:p w14:paraId="153E7EE3">
            <w:pPr>
              <w:spacing w:before="100" w:beforeAutospacing="1" w:after="200" w:line="273"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Risks</w:t>
            </w:r>
          </w:p>
        </w:tc>
        <w:tc>
          <w:tcPr>
            <w:tcW w:w="0" w:type="auto"/>
          </w:tcPr>
          <w:p w14:paraId="19967BC5">
            <w:pPr>
              <w:spacing w:before="100" w:beforeAutospacing="1" w:after="200" w:line="273" w:lineRule="auto"/>
              <w:rPr>
                <w:rFonts w:ascii="SimSun" w:hAnsi="SimSun" w:eastAsia="SimSun" w:cs="Times New Roman"/>
                <w:b/>
                <w:bCs/>
                <w:kern w:val="2"/>
                <w:sz w:val="24"/>
                <w:szCs w:val="24"/>
                <w:lang w:eastAsia="en-GB"/>
                <w14:ligatures w14:val="standardContextual"/>
              </w:rPr>
            </w:pPr>
            <w:r>
              <w:rPr>
                <w:rFonts w:ascii="SimSun" w:hAnsi="SimSun" w:eastAsia="SimSun" w:cs="Times New Roman"/>
                <w:b/>
                <w:bCs/>
                <w:kern w:val="2"/>
                <w:sz w:val="24"/>
                <w:szCs w:val="24"/>
                <w:lang w:eastAsia="en-GB"/>
                <w14:ligatures w14:val="standardContextual"/>
              </w:rPr>
              <w:t>Mitigation</w:t>
            </w:r>
          </w:p>
        </w:tc>
      </w:tr>
      <w:tr w14:paraId="79C0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5CD5D45">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Global Ranking</w:t>
            </w:r>
          </w:p>
        </w:tc>
        <w:tc>
          <w:tcPr>
            <w:tcW w:w="0" w:type="auto"/>
          </w:tcPr>
          <w:p w14:paraId="227FE36E">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Position FUL among top 20 universities in Nigeria and visible in African rankings</w:t>
            </w:r>
          </w:p>
        </w:tc>
        <w:tc>
          <w:tcPr>
            <w:tcW w:w="0" w:type="auto"/>
          </w:tcPr>
          <w:p w14:paraId="1F44B1C1">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VC’s Office,</w:t>
            </w:r>
          </w:p>
          <w:p w14:paraId="2963F4D5">
            <w:pPr>
              <w:spacing w:before="100" w:beforeAutospacing="1" w:after="200" w:line="273" w:lineRule="auto"/>
              <w:rPr>
                <w:rFonts w:ascii="SimSun" w:hAnsi="SimSun" w:eastAsia="SimSun" w:cs="Times New Roman"/>
                <w:kern w:val="2"/>
                <w:sz w:val="24"/>
                <w:szCs w:val="24"/>
                <w:lang w:eastAsia="en-GB"/>
                <w14:ligatures w14:val="standardContextual"/>
              </w:rPr>
            </w:pPr>
          </w:p>
          <w:p w14:paraId="7AB4604C">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 Senate</w:t>
            </w:r>
          </w:p>
          <w:p w14:paraId="74DF4A67">
            <w:pPr>
              <w:spacing w:before="100" w:beforeAutospacing="1" w:after="200" w:line="273" w:lineRule="auto"/>
              <w:rPr>
                <w:rFonts w:ascii="SimSun" w:hAnsi="SimSun" w:eastAsia="SimSun" w:cs="Times New Roman"/>
                <w:kern w:val="2"/>
                <w:sz w:val="24"/>
                <w:szCs w:val="24"/>
                <w:lang w:eastAsia="en-GB"/>
                <w14:ligatures w14:val="standardContextual"/>
              </w:rPr>
            </w:pPr>
          </w:p>
          <w:p w14:paraId="353648EE">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Research and Development</w:t>
            </w:r>
          </w:p>
        </w:tc>
        <w:tc>
          <w:tcPr>
            <w:tcW w:w="0" w:type="auto"/>
          </w:tcPr>
          <w:p w14:paraId="7E98A182">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Ranking criteria misalignment</w:t>
            </w:r>
          </w:p>
        </w:tc>
        <w:tc>
          <w:tcPr>
            <w:tcW w:w="0" w:type="auto"/>
          </w:tcPr>
          <w:p w14:paraId="4078EA45">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Align strategies with global benchmarks</w:t>
            </w:r>
          </w:p>
        </w:tc>
      </w:tr>
      <w:tr w14:paraId="5B67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A5463A5">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Funding</w:t>
            </w:r>
          </w:p>
        </w:tc>
        <w:tc>
          <w:tcPr>
            <w:tcW w:w="0" w:type="auto"/>
          </w:tcPr>
          <w:p w14:paraId="727FA35B">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Endowment Fund of </w:t>
            </w:r>
            <w:r>
              <w:rPr>
                <w:rFonts w:ascii="Times New Roman" w:hAnsi="Times New Roman" w:eastAsia="SimSun" w:cs="Times New Roman"/>
                <w:kern w:val="2"/>
                <w:sz w:val="24"/>
                <w:szCs w:val="24"/>
                <w:lang w:eastAsia="en-GB"/>
                <w14:ligatures w14:val="standardContextual"/>
              </w:rPr>
              <w:t>₦</w:t>
            </w:r>
            <w:r>
              <w:rPr>
                <w:rFonts w:ascii="SimSun" w:hAnsi="SimSun" w:eastAsia="SimSun" w:cs="Times New Roman"/>
                <w:kern w:val="2"/>
                <w:sz w:val="24"/>
                <w:szCs w:val="24"/>
                <w:lang w:eastAsia="en-GB"/>
                <w14:ligatures w14:val="standardContextual"/>
              </w:rPr>
              <w:t>5 billion; strengthen alumni giving</w:t>
            </w:r>
          </w:p>
        </w:tc>
        <w:tc>
          <w:tcPr>
            <w:tcW w:w="0" w:type="auto"/>
          </w:tcPr>
          <w:p w14:paraId="25AAC1E9">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Governing Council</w:t>
            </w:r>
          </w:p>
          <w:p w14:paraId="22DDD832">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VC</w:t>
            </w:r>
          </w:p>
          <w:p w14:paraId="33BBB3C2">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Advancement Office</w:t>
            </w:r>
          </w:p>
          <w:p w14:paraId="42EBD8CB">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 Bursary</w:t>
            </w:r>
          </w:p>
        </w:tc>
        <w:tc>
          <w:tcPr>
            <w:tcW w:w="0" w:type="auto"/>
          </w:tcPr>
          <w:p w14:paraId="6CE8A9E0">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Weak alumni engagement</w:t>
            </w:r>
          </w:p>
        </w:tc>
        <w:tc>
          <w:tcPr>
            <w:tcW w:w="0" w:type="auto"/>
          </w:tcPr>
          <w:p w14:paraId="34C9F72E">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Alumni ambassador programme</w:t>
            </w:r>
          </w:p>
          <w:p w14:paraId="431C5C7A">
            <w:pPr>
              <w:spacing w:before="100" w:beforeAutospacing="1" w:after="200" w:line="273" w:lineRule="auto"/>
              <w:rPr>
                <w:rFonts w:ascii="SimSun" w:hAnsi="SimSun" w:eastAsia="SimSun" w:cs="Times New Roman"/>
                <w:kern w:val="2"/>
                <w:sz w:val="24"/>
                <w:szCs w:val="24"/>
                <w:lang w:eastAsia="en-GB"/>
                <w14:ligatures w14:val="standardContextual"/>
              </w:rPr>
            </w:pPr>
          </w:p>
          <w:p w14:paraId="32149A13">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International grants</w:t>
            </w:r>
          </w:p>
        </w:tc>
      </w:tr>
      <w:tr w14:paraId="563D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03F34AF">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Smart Campus</w:t>
            </w:r>
          </w:p>
        </w:tc>
        <w:tc>
          <w:tcPr>
            <w:tcW w:w="0" w:type="auto"/>
          </w:tcPr>
          <w:p w14:paraId="03D4DAA5">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Fully digitized processes; renewable energy covers 70% of needs</w:t>
            </w:r>
          </w:p>
        </w:tc>
        <w:tc>
          <w:tcPr>
            <w:tcW w:w="0" w:type="auto"/>
          </w:tcPr>
          <w:p w14:paraId="17D4A0D8">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ICT Directorate, </w:t>
            </w:r>
          </w:p>
          <w:p w14:paraId="532B3B16">
            <w:pPr>
              <w:spacing w:before="100" w:beforeAutospacing="1" w:after="200" w:line="273" w:lineRule="auto"/>
              <w:rPr>
                <w:rFonts w:ascii="SimSun" w:hAnsi="SimSun" w:eastAsia="SimSun" w:cs="Times New Roman"/>
                <w:kern w:val="2"/>
                <w:sz w:val="24"/>
                <w:szCs w:val="24"/>
                <w:lang w:eastAsia="en-GB"/>
                <w14:ligatures w14:val="standardContextual"/>
              </w:rPr>
            </w:pPr>
          </w:p>
          <w:p w14:paraId="3C8692CF">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Works and Services</w:t>
            </w:r>
          </w:p>
        </w:tc>
        <w:tc>
          <w:tcPr>
            <w:tcW w:w="0" w:type="auto"/>
          </w:tcPr>
          <w:p w14:paraId="11BAE48C">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High cost</w:t>
            </w:r>
          </w:p>
        </w:tc>
        <w:tc>
          <w:tcPr>
            <w:tcW w:w="0" w:type="auto"/>
          </w:tcPr>
          <w:p w14:paraId="49DE7E10">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PPP models</w:t>
            </w:r>
          </w:p>
          <w:p w14:paraId="77971648">
            <w:pPr>
              <w:spacing w:before="100" w:beforeAutospacing="1" w:after="200" w:line="273" w:lineRule="auto"/>
              <w:rPr>
                <w:rFonts w:ascii="SimSun" w:hAnsi="SimSun" w:eastAsia="SimSun" w:cs="Times New Roman"/>
                <w:kern w:val="2"/>
                <w:sz w:val="24"/>
                <w:szCs w:val="24"/>
                <w:lang w:eastAsia="en-GB"/>
                <w14:ligatures w14:val="standardContextual"/>
              </w:rPr>
            </w:pPr>
          </w:p>
          <w:p w14:paraId="7A3ECCA0">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Green grants</w:t>
            </w:r>
          </w:p>
        </w:tc>
      </w:tr>
      <w:tr w14:paraId="2AB2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15D5CF5">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Research Visibility</w:t>
            </w:r>
          </w:p>
        </w:tc>
        <w:tc>
          <w:tcPr>
            <w:tcW w:w="0" w:type="auto"/>
          </w:tcPr>
          <w:p w14:paraId="75C3C0D3">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50% increase in Scopus/WoS indexed publications</w:t>
            </w:r>
          </w:p>
        </w:tc>
        <w:tc>
          <w:tcPr>
            <w:tcW w:w="0" w:type="auto"/>
          </w:tcPr>
          <w:p w14:paraId="71C943BB">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DVC Academic</w:t>
            </w:r>
          </w:p>
          <w:p w14:paraId="513843A9">
            <w:pPr>
              <w:spacing w:before="100" w:beforeAutospacing="1" w:after="200" w:line="273" w:lineRule="auto"/>
              <w:rPr>
                <w:rFonts w:ascii="SimSun" w:hAnsi="SimSun" w:eastAsia="SimSun" w:cs="Times New Roman"/>
                <w:kern w:val="2"/>
                <w:sz w:val="24"/>
                <w:szCs w:val="24"/>
                <w:lang w:eastAsia="en-GB"/>
                <w14:ligatures w14:val="standardContextual"/>
              </w:rPr>
            </w:pPr>
          </w:p>
          <w:p w14:paraId="7688856E">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Research and Development</w:t>
            </w:r>
          </w:p>
          <w:p w14:paraId="6E73C166">
            <w:pPr>
              <w:spacing w:before="100" w:beforeAutospacing="1" w:after="200" w:line="273" w:lineRule="auto"/>
              <w:rPr>
                <w:rFonts w:ascii="SimSun" w:hAnsi="SimSun" w:eastAsia="SimSun" w:cs="Times New Roman"/>
                <w:kern w:val="2"/>
                <w:sz w:val="24"/>
                <w:szCs w:val="24"/>
                <w:lang w:eastAsia="en-GB"/>
                <w14:ligatures w14:val="standardContextual"/>
              </w:rPr>
            </w:pPr>
          </w:p>
          <w:p w14:paraId="69CF4A62">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Deans</w:t>
            </w:r>
          </w:p>
        </w:tc>
        <w:tc>
          <w:tcPr>
            <w:tcW w:w="0" w:type="auto"/>
          </w:tcPr>
          <w:p w14:paraId="506573D5">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Staff research and publishing capacity</w:t>
            </w:r>
          </w:p>
        </w:tc>
        <w:tc>
          <w:tcPr>
            <w:tcW w:w="0" w:type="auto"/>
          </w:tcPr>
          <w:p w14:paraId="5F19913D">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Mentorship</w:t>
            </w:r>
          </w:p>
          <w:p w14:paraId="72E5A959">
            <w:pPr>
              <w:spacing w:before="100" w:beforeAutospacing="1" w:after="200" w:line="273" w:lineRule="auto"/>
              <w:rPr>
                <w:rFonts w:ascii="SimSun" w:hAnsi="SimSun" w:eastAsia="SimSun" w:cs="Times New Roman"/>
                <w:kern w:val="2"/>
                <w:sz w:val="24"/>
                <w:szCs w:val="24"/>
                <w:lang w:eastAsia="en-GB"/>
                <w14:ligatures w14:val="standardContextual"/>
              </w:rPr>
            </w:pPr>
          </w:p>
          <w:p w14:paraId="6F9EB384">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writing workshops</w:t>
            </w:r>
          </w:p>
          <w:p w14:paraId="3659B648">
            <w:pPr>
              <w:spacing w:before="100" w:beforeAutospacing="1" w:after="200" w:line="273" w:lineRule="auto"/>
              <w:rPr>
                <w:rFonts w:ascii="SimSun" w:hAnsi="SimSun" w:eastAsia="SimSun" w:cs="Times New Roman"/>
                <w:kern w:val="2"/>
                <w:sz w:val="24"/>
                <w:szCs w:val="24"/>
                <w:lang w:eastAsia="en-GB"/>
                <w14:ligatures w14:val="standardContextual"/>
              </w:rPr>
            </w:pPr>
          </w:p>
        </w:tc>
      </w:tr>
      <w:tr w14:paraId="5EAD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3D24774">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Sustainability</w:t>
            </w:r>
          </w:p>
        </w:tc>
        <w:tc>
          <w:tcPr>
            <w:tcW w:w="0" w:type="auto"/>
          </w:tcPr>
          <w:p w14:paraId="550BEDF4">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 xml:space="preserve">Climate-friendly campus </w:t>
            </w:r>
          </w:p>
          <w:p w14:paraId="45B4880D">
            <w:pPr>
              <w:spacing w:before="100" w:beforeAutospacing="1" w:after="200" w:line="273" w:lineRule="auto"/>
              <w:rPr>
                <w:rFonts w:ascii="SimSun" w:hAnsi="SimSun" w:eastAsia="SimSun" w:cs="Times New Roman"/>
                <w:kern w:val="2"/>
                <w:sz w:val="24"/>
                <w:szCs w:val="24"/>
                <w:lang w:eastAsia="en-GB"/>
                <w14:ligatures w14:val="standardContextual"/>
              </w:rPr>
            </w:pPr>
          </w:p>
          <w:p w14:paraId="39D42F78">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Waste recycling</w:t>
            </w:r>
          </w:p>
          <w:p w14:paraId="1C2DD2C8">
            <w:pPr>
              <w:spacing w:before="100" w:beforeAutospacing="1" w:after="200" w:line="273" w:lineRule="auto"/>
              <w:rPr>
                <w:rFonts w:ascii="SimSun" w:hAnsi="SimSun" w:eastAsia="SimSun" w:cs="Times New Roman"/>
                <w:kern w:val="2"/>
                <w:sz w:val="24"/>
                <w:szCs w:val="24"/>
                <w:lang w:eastAsia="en-GB"/>
                <w14:ligatures w14:val="standardContextual"/>
              </w:rPr>
            </w:pPr>
          </w:p>
          <w:p w14:paraId="24FC0160">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Maintaining regular investment in bonds, real estates, economic trees</w:t>
            </w:r>
          </w:p>
          <w:p w14:paraId="72CD749F">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Sustaining Zoos, parks and gardens for town-gown synergy</w:t>
            </w:r>
          </w:p>
          <w:p w14:paraId="4EFFF32B">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Sustaining ventures-Micro-finance bank, bakery, FUL water, press, bookshop, commercialisation of halls and auditoria</w:t>
            </w:r>
          </w:p>
        </w:tc>
        <w:tc>
          <w:tcPr>
            <w:tcW w:w="0" w:type="auto"/>
          </w:tcPr>
          <w:p w14:paraId="4C2098C1">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Works &amp; Services</w:t>
            </w:r>
          </w:p>
          <w:p w14:paraId="1990FFAE">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DVC Administration</w:t>
            </w:r>
          </w:p>
          <w:p w14:paraId="6AAD6856">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Bursar</w:t>
            </w:r>
          </w:p>
          <w:p w14:paraId="198898F1">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Directorate of Ventures</w:t>
            </w:r>
          </w:p>
          <w:p w14:paraId="28600608">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Management of Micro-finance Bank</w:t>
            </w:r>
          </w:p>
          <w:p w14:paraId="06D42864">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Student Union</w:t>
            </w:r>
          </w:p>
        </w:tc>
        <w:tc>
          <w:tcPr>
            <w:tcW w:w="0" w:type="auto"/>
          </w:tcPr>
          <w:p w14:paraId="141E42BF">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Compliance issues</w:t>
            </w:r>
          </w:p>
        </w:tc>
        <w:tc>
          <w:tcPr>
            <w:tcW w:w="0" w:type="auto"/>
          </w:tcPr>
          <w:p w14:paraId="67F358A0">
            <w:pPr>
              <w:spacing w:before="100" w:beforeAutospacing="1" w:after="200" w:line="273" w:lineRule="auto"/>
              <w:rPr>
                <w:rFonts w:ascii="SimSun" w:hAnsi="SimSun" w:eastAsia="SimSun" w:cs="Times New Roman"/>
                <w:kern w:val="2"/>
                <w:sz w:val="24"/>
                <w:szCs w:val="24"/>
                <w:lang w:eastAsia="en-GB"/>
                <w14:ligatures w14:val="standardContextual"/>
              </w:rPr>
            </w:pPr>
            <w:r>
              <w:rPr>
                <w:rFonts w:ascii="SimSun" w:hAnsi="SimSun" w:eastAsia="SimSun" w:cs="Times New Roman"/>
                <w:kern w:val="2"/>
                <w:sz w:val="24"/>
                <w:szCs w:val="24"/>
                <w:lang w:eastAsia="en-GB"/>
                <w14:ligatures w14:val="standardContextual"/>
              </w:rPr>
              <w:t>Student-community partnerships</w:t>
            </w:r>
          </w:p>
          <w:p w14:paraId="7D9BD7A6">
            <w:pPr>
              <w:spacing w:before="100" w:beforeAutospacing="1" w:after="200" w:line="273" w:lineRule="auto"/>
              <w:rPr>
                <w:rFonts w:ascii="SimSun" w:hAnsi="SimSun" w:eastAsia="SimSun" w:cs="Times New Roman"/>
                <w:kern w:val="2"/>
                <w:sz w:val="24"/>
                <w:szCs w:val="24"/>
                <w:lang w:eastAsia="en-GB"/>
                <w14:ligatures w14:val="standardContextual"/>
              </w:rPr>
            </w:pPr>
          </w:p>
        </w:tc>
      </w:tr>
    </w:tbl>
    <w:p w14:paraId="2DEE93E7">
      <w:pPr>
        <w:spacing w:after="0"/>
        <w:rPr>
          <w:rFonts w:ascii="SimSun" w:hAnsi="SimSun" w:eastAsia="SimSun"/>
          <w:sz w:val="28"/>
          <w:szCs w:val="28"/>
        </w:rPr>
      </w:pPr>
    </w:p>
    <w:p w14:paraId="34ACCECC">
      <w:pPr>
        <w:keepNext/>
        <w:keepLines/>
        <w:widowControl w:val="0"/>
        <w:spacing w:before="480" w:after="0" w:line="273" w:lineRule="auto"/>
        <w:outlineLvl w:val="0"/>
        <w:rPr>
          <w:rFonts w:ascii="SimSun" w:hAnsi="SimSun" w:eastAsia="SimSun" w:cs="Times New Roman"/>
          <w:b/>
          <w:bCs/>
          <w:color w:val="366091"/>
          <w:kern w:val="36"/>
          <w:sz w:val="28"/>
          <w:szCs w:val="28"/>
          <w:lang w:eastAsia="en-GB"/>
        </w:rPr>
      </w:pPr>
      <w:bookmarkStart w:id="13" w:name="_Toc14982"/>
      <w:r>
        <w:rPr>
          <w:rFonts w:ascii="SimSun" w:hAnsi="SimSun" w:eastAsia="SimSun" w:cs="Times New Roman"/>
          <w:b/>
          <w:bCs/>
          <w:color w:val="366091"/>
          <w:kern w:val="36"/>
          <w:sz w:val="28"/>
          <w:szCs w:val="28"/>
          <w:lang w:eastAsia="en-GB"/>
        </w:rPr>
        <w:t>Conclusion</w:t>
      </w:r>
      <w:bookmarkEnd w:id="13"/>
    </w:p>
    <w:p w14:paraId="648645B1">
      <w:pPr>
        <w:spacing w:before="100" w:beforeAutospacing="1" w:after="200" w:line="273" w:lineRule="auto"/>
        <w:rPr>
          <w:rFonts w:ascii="SimSun" w:hAnsi="SimSun" w:eastAsia="SimSun" w:cs="Times New Roman"/>
          <w:sz w:val="28"/>
          <w:szCs w:val="28"/>
          <w:lang w:eastAsia="en-GB"/>
        </w:rPr>
      </w:pPr>
      <w:r>
        <w:rPr>
          <w:rFonts w:ascii="SimSun" w:hAnsi="SimSun" w:eastAsia="SimSun" w:cs="Times New Roman"/>
          <w:sz w:val="28"/>
          <w:szCs w:val="28"/>
          <w:lang w:eastAsia="en-GB"/>
        </w:rPr>
        <w:t>This strategic plan is designed to transform Federal University Lokoja into a world-class institution by aligning immediate actions with long-term goals. It offers not only a vision but also measurable steps, clear responsibilities, and risk-mitigation strategies. With support from the Governing Council, Senate, staff, students, alumni, and host communities, this vision can be fully realized, positioning FUL as a hub of knowledge, innovation, and societal impact.</w:t>
      </w:r>
    </w:p>
    <w:p w14:paraId="0E2C927C">
      <w:pPr>
        <w:spacing w:after="0"/>
        <w:rPr>
          <w:rFonts w:ascii="SimSun" w:hAnsi="SimSun" w:eastAsia="SimSun"/>
          <w:sz w:val="24"/>
          <w:szCs w:val="24"/>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6307782"/>
      <w:docPartObj>
        <w:docPartGallery w:val="autotext"/>
      </w:docPartObj>
    </w:sdtPr>
    <w:sdtContent>
      <w:sdt>
        <w:sdtPr>
          <w:id w:val="-1769616900"/>
          <w:docPartObj>
            <w:docPartGallery w:val="autotext"/>
          </w:docPartObj>
        </w:sdtPr>
        <w:sdtContent>
          <w:p w14:paraId="563F05DA">
            <w:pPr>
              <w:pStyle w:val="15"/>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4AD05E5A">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CA209">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7C7EC">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455C8">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C568F"/>
    <w:multiLevelType w:val="multilevel"/>
    <w:tmpl w:val="002C568F"/>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1C5104D"/>
    <w:multiLevelType w:val="multilevel"/>
    <w:tmpl w:val="01C5104D"/>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CD90E1D"/>
    <w:multiLevelType w:val="multilevel"/>
    <w:tmpl w:val="0CD90E1D"/>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12BF4A20"/>
    <w:multiLevelType w:val="multilevel"/>
    <w:tmpl w:val="12BF4A20"/>
    <w:lvl w:ilvl="0" w:tentative="0">
      <w:start w:val="1"/>
      <w:numFmt w:val="bullet"/>
      <w:lvlText w:val=""/>
      <w:lvlJc w:val="left"/>
      <w:pPr>
        <w:tabs>
          <w:tab w:val="left" w:pos="720"/>
        </w:tabs>
        <w:ind w:left="720" w:hanging="360"/>
      </w:pPr>
      <w:rPr>
        <w:rFonts w:hint="default" w:ascii="Symbol" w:hAnsi="Symbol"/>
        <w:sz w:val="20"/>
        <w:szCs w:val="20"/>
      </w:rPr>
    </w:lvl>
    <w:lvl w:ilvl="1" w:tentative="0">
      <w:start w:val="1"/>
      <w:numFmt w:val="bullet"/>
      <w:lvlText w:val="o"/>
      <w:lvlJc w:val="left"/>
      <w:pPr>
        <w:tabs>
          <w:tab w:val="left" w:pos="1440"/>
        </w:tabs>
        <w:ind w:left="1440" w:hanging="360"/>
      </w:pPr>
      <w:rPr>
        <w:rFonts w:hint="default" w:ascii="Courier New" w:hAnsi="Courier New" w:cs="Times New Roman"/>
        <w:sz w:val="20"/>
        <w:szCs w:val="20"/>
      </w:rPr>
    </w:lvl>
    <w:lvl w:ilvl="2" w:tentative="0">
      <w:start w:val="1"/>
      <w:numFmt w:val="bullet"/>
      <w:lvlText w:val=""/>
      <w:lvlJc w:val="left"/>
      <w:pPr>
        <w:tabs>
          <w:tab w:val="left" w:pos="2160"/>
        </w:tabs>
        <w:ind w:left="2160" w:hanging="360"/>
      </w:pPr>
      <w:rPr>
        <w:rFonts w:hint="default" w:ascii="Wingdings" w:hAnsi="Wingdings"/>
        <w:sz w:val="20"/>
        <w:szCs w:val="20"/>
      </w:rPr>
    </w:lvl>
    <w:lvl w:ilvl="3" w:tentative="0">
      <w:start w:val="1"/>
      <w:numFmt w:val="bullet"/>
      <w:lvlText w:val=""/>
      <w:lvlJc w:val="left"/>
      <w:pPr>
        <w:tabs>
          <w:tab w:val="left" w:pos="2880"/>
        </w:tabs>
        <w:ind w:left="2880" w:hanging="360"/>
      </w:pPr>
      <w:rPr>
        <w:rFonts w:hint="default" w:ascii="Wingdings" w:hAnsi="Wingdings"/>
        <w:sz w:val="20"/>
        <w:szCs w:val="20"/>
      </w:rPr>
    </w:lvl>
    <w:lvl w:ilvl="4" w:tentative="0">
      <w:start w:val="1"/>
      <w:numFmt w:val="bullet"/>
      <w:lvlText w:val=""/>
      <w:lvlJc w:val="left"/>
      <w:pPr>
        <w:tabs>
          <w:tab w:val="left" w:pos="3600"/>
        </w:tabs>
        <w:ind w:left="3600" w:hanging="360"/>
      </w:pPr>
      <w:rPr>
        <w:rFonts w:hint="default" w:ascii="Wingdings" w:hAnsi="Wingdings"/>
        <w:sz w:val="20"/>
        <w:szCs w:val="20"/>
      </w:rPr>
    </w:lvl>
    <w:lvl w:ilvl="5" w:tentative="0">
      <w:start w:val="1"/>
      <w:numFmt w:val="bullet"/>
      <w:lvlText w:val=""/>
      <w:lvlJc w:val="left"/>
      <w:pPr>
        <w:tabs>
          <w:tab w:val="left" w:pos="4320"/>
        </w:tabs>
        <w:ind w:left="4320" w:hanging="360"/>
      </w:pPr>
      <w:rPr>
        <w:rFonts w:hint="default" w:ascii="Wingdings" w:hAnsi="Wingdings"/>
        <w:sz w:val="20"/>
        <w:szCs w:val="20"/>
      </w:rPr>
    </w:lvl>
    <w:lvl w:ilvl="6" w:tentative="0">
      <w:start w:val="1"/>
      <w:numFmt w:val="bullet"/>
      <w:lvlText w:val=""/>
      <w:lvlJc w:val="left"/>
      <w:pPr>
        <w:tabs>
          <w:tab w:val="left" w:pos="5040"/>
        </w:tabs>
        <w:ind w:left="5040" w:hanging="360"/>
      </w:pPr>
      <w:rPr>
        <w:rFonts w:hint="default" w:ascii="Wingdings" w:hAnsi="Wingdings"/>
        <w:sz w:val="20"/>
        <w:szCs w:val="20"/>
      </w:rPr>
    </w:lvl>
    <w:lvl w:ilvl="7" w:tentative="0">
      <w:start w:val="1"/>
      <w:numFmt w:val="bullet"/>
      <w:lvlText w:val=""/>
      <w:lvlJc w:val="left"/>
      <w:pPr>
        <w:tabs>
          <w:tab w:val="left" w:pos="5760"/>
        </w:tabs>
        <w:ind w:left="5760" w:hanging="360"/>
      </w:pPr>
      <w:rPr>
        <w:rFonts w:hint="default" w:ascii="Wingdings" w:hAnsi="Wingdings"/>
        <w:sz w:val="20"/>
        <w:szCs w:val="20"/>
      </w:rPr>
    </w:lvl>
    <w:lvl w:ilvl="8" w:tentative="0">
      <w:start w:val="1"/>
      <w:numFmt w:val="bullet"/>
      <w:lvlText w:val=""/>
      <w:lvlJc w:val="left"/>
      <w:pPr>
        <w:tabs>
          <w:tab w:val="left" w:pos="6480"/>
        </w:tabs>
        <w:ind w:left="6480" w:hanging="360"/>
      </w:pPr>
      <w:rPr>
        <w:rFonts w:hint="default" w:ascii="Wingdings" w:hAnsi="Wingdings"/>
        <w:sz w:val="20"/>
        <w:szCs w:val="20"/>
      </w:rPr>
    </w:lvl>
  </w:abstractNum>
  <w:abstractNum w:abstractNumId="4">
    <w:nsid w:val="1D0922EF"/>
    <w:multiLevelType w:val="multilevel"/>
    <w:tmpl w:val="1D0922EF"/>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F374ADC"/>
    <w:multiLevelType w:val="multilevel"/>
    <w:tmpl w:val="1F374ADC"/>
    <w:lvl w:ilvl="0" w:tentative="0">
      <w:start w:val="1"/>
      <w:numFmt w:val="bullet"/>
      <w:lvlText w:val=""/>
      <w:lvlJc w:val="left"/>
      <w:pPr>
        <w:tabs>
          <w:tab w:val="left" w:pos="720"/>
        </w:tabs>
        <w:ind w:left="720" w:hanging="360"/>
      </w:pPr>
      <w:rPr>
        <w:rFonts w:hint="default" w:ascii="Symbol" w:hAnsi="Symbol"/>
        <w:sz w:val="20"/>
        <w:szCs w:val="20"/>
      </w:rPr>
    </w:lvl>
    <w:lvl w:ilvl="1" w:tentative="0">
      <w:start w:val="1"/>
      <w:numFmt w:val="bullet"/>
      <w:lvlText w:val="o"/>
      <w:lvlJc w:val="left"/>
      <w:pPr>
        <w:tabs>
          <w:tab w:val="left" w:pos="1440"/>
        </w:tabs>
        <w:ind w:left="1440" w:hanging="360"/>
      </w:pPr>
      <w:rPr>
        <w:rFonts w:hint="default" w:ascii="Courier New" w:hAnsi="Courier New" w:cs="Times New Roman"/>
        <w:sz w:val="20"/>
        <w:szCs w:val="20"/>
      </w:rPr>
    </w:lvl>
    <w:lvl w:ilvl="2" w:tentative="0">
      <w:start w:val="1"/>
      <w:numFmt w:val="bullet"/>
      <w:lvlText w:val=""/>
      <w:lvlJc w:val="left"/>
      <w:pPr>
        <w:tabs>
          <w:tab w:val="left" w:pos="2160"/>
        </w:tabs>
        <w:ind w:left="2160" w:hanging="360"/>
      </w:pPr>
      <w:rPr>
        <w:rFonts w:hint="default" w:ascii="Wingdings" w:hAnsi="Wingdings"/>
        <w:sz w:val="20"/>
        <w:szCs w:val="20"/>
      </w:rPr>
    </w:lvl>
    <w:lvl w:ilvl="3" w:tentative="0">
      <w:start w:val="1"/>
      <w:numFmt w:val="bullet"/>
      <w:lvlText w:val=""/>
      <w:lvlJc w:val="left"/>
      <w:pPr>
        <w:tabs>
          <w:tab w:val="left" w:pos="2880"/>
        </w:tabs>
        <w:ind w:left="2880" w:hanging="360"/>
      </w:pPr>
      <w:rPr>
        <w:rFonts w:hint="default" w:ascii="Wingdings" w:hAnsi="Wingdings"/>
        <w:sz w:val="20"/>
        <w:szCs w:val="20"/>
      </w:rPr>
    </w:lvl>
    <w:lvl w:ilvl="4" w:tentative="0">
      <w:start w:val="1"/>
      <w:numFmt w:val="bullet"/>
      <w:lvlText w:val=""/>
      <w:lvlJc w:val="left"/>
      <w:pPr>
        <w:tabs>
          <w:tab w:val="left" w:pos="3600"/>
        </w:tabs>
        <w:ind w:left="3600" w:hanging="360"/>
      </w:pPr>
      <w:rPr>
        <w:rFonts w:hint="default" w:ascii="Wingdings" w:hAnsi="Wingdings"/>
        <w:sz w:val="20"/>
        <w:szCs w:val="20"/>
      </w:rPr>
    </w:lvl>
    <w:lvl w:ilvl="5" w:tentative="0">
      <w:start w:val="1"/>
      <w:numFmt w:val="bullet"/>
      <w:lvlText w:val=""/>
      <w:lvlJc w:val="left"/>
      <w:pPr>
        <w:tabs>
          <w:tab w:val="left" w:pos="4320"/>
        </w:tabs>
        <w:ind w:left="4320" w:hanging="360"/>
      </w:pPr>
      <w:rPr>
        <w:rFonts w:hint="default" w:ascii="Wingdings" w:hAnsi="Wingdings"/>
        <w:sz w:val="20"/>
        <w:szCs w:val="20"/>
      </w:rPr>
    </w:lvl>
    <w:lvl w:ilvl="6" w:tentative="0">
      <w:start w:val="1"/>
      <w:numFmt w:val="bullet"/>
      <w:lvlText w:val=""/>
      <w:lvlJc w:val="left"/>
      <w:pPr>
        <w:tabs>
          <w:tab w:val="left" w:pos="5040"/>
        </w:tabs>
        <w:ind w:left="5040" w:hanging="360"/>
      </w:pPr>
      <w:rPr>
        <w:rFonts w:hint="default" w:ascii="Wingdings" w:hAnsi="Wingdings"/>
        <w:sz w:val="20"/>
        <w:szCs w:val="20"/>
      </w:rPr>
    </w:lvl>
    <w:lvl w:ilvl="7" w:tentative="0">
      <w:start w:val="1"/>
      <w:numFmt w:val="bullet"/>
      <w:lvlText w:val=""/>
      <w:lvlJc w:val="left"/>
      <w:pPr>
        <w:tabs>
          <w:tab w:val="left" w:pos="5760"/>
        </w:tabs>
        <w:ind w:left="5760" w:hanging="360"/>
      </w:pPr>
      <w:rPr>
        <w:rFonts w:hint="default" w:ascii="Wingdings" w:hAnsi="Wingdings"/>
        <w:sz w:val="20"/>
        <w:szCs w:val="20"/>
      </w:rPr>
    </w:lvl>
    <w:lvl w:ilvl="8" w:tentative="0">
      <w:start w:val="1"/>
      <w:numFmt w:val="bullet"/>
      <w:lvlText w:val=""/>
      <w:lvlJc w:val="left"/>
      <w:pPr>
        <w:tabs>
          <w:tab w:val="left" w:pos="6480"/>
        </w:tabs>
        <w:ind w:left="6480" w:hanging="360"/>
      </w:pPr>
      <w:rPr>
        <w:rFonts w:hint="default" w:ascii="Wingdings" w:hAnsi="Wingdings"/>
        <w:sz w:val="20"/>
        <w:szCs w:val="20"/>
      </w:rPr>
    </w:lvl>
  </w:abstractNum>
  <w:abstractNum w:abstractNumId="6">
    <w:nsid w:val="237D3D5E"/>
    <w:multiLevelType w:val="multilevel"/>
    <w:tmpl w:val="237D3D5E"/>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3B20DB5"/>
    <w:multiLevelType w:val="multilevel"/>
    <w:tmpl w:val="23B20DB5"/>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A2E734D"/>
    <w:multiLevelType w:val="multilevel"/>
    <w:tmpl w:val="2A2E734D"/>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397B5938"/>
    <w:multiLevelType w:val="multilevel"/>
    <w:tmpl w:val="397B5938"/>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D6A5E5D"/>
    <w:multiLevelType w:val="multilevel"/>
    <w:tmpl w:val="3D6A5E5D"/>
    <w:lvl w:ilvl="0" w:tentative="0">
      <w:start w:val="1"/>
      <w:numFmt w:val="bullet"/>
      <w:lvlText w:val=""/>
      <w:lvlJc w:val="left"/>
      <w:pPr>
        <w:tabs>
          <w:tab w:val="left" w:pos="720"/>
        </w:tabs>
        <w:ind w:left="720" w:hanging="360"/>
      </w:pPr>
      <w:rPr>
        <w:rFonts w:hint="default" w:ascii="Symbol" w:hAnsi="Symbol"/>
        <w:sz w:val="20"/>
        <w:szCs w:val="20"/>
      </w:rPr>
    </w:lvl>
    <w:lvl w:ilvl="1" w:tentative="0">
      <w:start w:val="1"/>
      <w:numFmt w:val="bullet"/>
      <w:lvlText w:val="o"/>
      <w:lvlJc w:val="left"/>
      <w:pPr>
        <w:tabs>
          <w:tab w:val="left" w:pos="1440"/>
        </w:tabs>
        <w:ind w:left="1440" w:hanging="360"/>
      </w:pPr>
      <w:rPr>
        <w:rFonts w:hint="default" w:ascii="Courier New" w:hAnsi="Courier New" w:cs="Times New Roman"/>
        <w:sz w:val="20"/>
        <w:szCs w:val="20"/>
      </w:rPr>
    </w:lvl>
    <w:lvl w:ilvl="2" w:tentative="0">
      <w:start w:val="1"/>
      <w:numFmt w:val="bullet"/>
      <w:lvlText w:val=""/>
      <w:lvlJc w:val="left"/>
      <w:pPr>
        <w:tabs>
          <w:tab w:val="left" w:pos="2160"/>
        </w:tabs>
        <w:ind w:left="2160" w:hanging="360"/>
      </w:pPr>
      <w:rPr>
        <w:rFonts w:hint="default" w:ascii="Wingdings" w:hAnsi="Wingdings"/>
        <w:sz w:val="20"/>
        <w:szCs w:val="20"/>
      </w:rPr>
    </w:lvl>
    <w:lvl w:ilvl="3" w:tentative="0">
      <w:start w:val="1"/>
      <w:numFmt w:val="bullet"/>
      <w:lvlText w:val=""/>
      <w:lvlJc w:val="left"/>
      <w:pPr>
        <w:tabs>
          <w:tab w:val="left" w:pos="2880"/>
        </w:tabs>
        <w:ind w:left="2880" w:hanging="360"/>
      </w:pPr>
      <w:rPr>
        <w:rFonts w:hint="default" w:ascii="Wingdings" w:hAnsi="Wingdings"/>
        <w:sz w:val="20"/>
        <w:szCs w:val="20"/>
      </w:rPr>
    </w:lvl>
    <w:lvl w:ilvl="4" w:tentative="0">
      <w:start w:val="1"/>
      <w:numFmt w:val="bullet"/>
      <w:lvlText w:val=""/>
      <w:lvlJc w:val="left"/>
      <w:pPr>
        <w:tabs>
          <w:tab w:val="left" w:pos="3600"/>
        </w:tabs>
        <w:ind w:left="3600" w:hanging="360"/>
      </w:pPr>
      <w:rPr>
        <w:rFonts w:hint="default" w:ascii="Wingdings" w:hAnsi="Wingdings"/>
        <w:sz w:val="20"/>
        <w:szCs w:val="20"/>
      </w:rPr>
    </w:lvl>
    <w:lvl w:ilvl="5" w:tentative="0">
      <w:start w:val="1"/>
      <w:numFmt w:val="bullet"/>
      <w:lvlText w:val=""/>
      <w:lvlJc w:val="left"/>
      <w:pPr>
        <w:tabs>
          <w:tab w:val="left" w:pos="4320"/>
        </w:tabs>
        <w:ind w:left="4320" w:hanging="360"/>
      </w:pPr>
      <w:rPr>
        <w:rFonts w:hint="default" w:ascii="Wingdings" w:hAnsi="Wingdings"/>
        <w:sz w:val="20"/>
        <w:szCs w:val="20"/>
      </w:rPr>
    </w:lvl>
    <w:lvl w:ilvl="6" w:tentative="0">
      <w:start w:val="1"/>
      <w:numFmt w:val="bullet"/>
      <w:lvlText w:val=""/>
      <w:lvlJc w:val="left"/>
      <w:pPr>
        <w:tabs>
          <w:tab w:val="left" w:pos="5040"/>
        </w:tabs>
        <w:ind w:left="5040" w:hanging="360"/>
      </w:pPr>
      <w:rPr>
        <w:rFonts w:hint="default" w:ascii="Wingdings" w:hAnsi="Wingdings"/>
        <w:sz w:val="20"/>
        <w:szCs w:val="20"/>
      </w:rPr>
    </w:lvl>
    <w:lvl w:ilvl="7" w:tentative="0">
      <w:start w:val="1"/>
      <w:numFmt w:val="bullet"/>
      <w:lvlText w:val=""/>
      <w:lvlJc w:val="left"/>
      <w:pPr>
        <w:tabs>
          <w:tab w:val="left" w:pos="5760"/>
        </w:tabs>
        <w:ind w:left="5760" w:hanging="360"/>
      </w:pPr>
      <w:rPr>
        <w:rFonts w:hint="default" w:ascii="Wingdings" w:hAnsi="Wingdings"/>
        <w:sz w:val="20"/>
        <w:szCs w:val="20"/>
      </w:rPr>
    </w:lvl>
    <w:lvl w:ilvl="8" w:tentative="0">
      <w:start w:val="1"/>
      <w:numFmt w:val="bullet"/>
      <w:lvlText w:val=""/>
      <w:lvlJc w:val="left"/>
      <w:pPr>
        <w:tabs>
          <w:tab w:val="left" w:pos="6480"/>
        </w:tabs>
        <w:ind w:left="6480" w:hanging="360"/>
      </w:pPr>
      <w:rPr>
        <w:rFonts w:hint="default" w:ascii="Wingdings" w:hAnsi="Wingdings"/>
        <w:sz w:val="20"/>
        <w:szCs w:val="20"/>
      </w:rPr>
    </w:lvl>
  </w:abstractNum>
  <w:abstractNum w:abstractNumId="11">
    <w:nsid w:val="42C2495F"/>
    <w:multiLevelType w:val="multilevel"/>
    <w:tmpl w:val="42C2495F"/>
    <w:lvl w:ilvl="0" w:tentative="0">
      <w:start w:val="1"/>
      <w:numFmt w:val="bullet"/>
      <w:lvlText w:val=""/>
      <w:lvlJc w:val="left"/>
      <w:pPr>
        <w:tabs>
          <w:tab w:val="left" w:pos="420"/>
        </w:tabs>
        <w:ind w:left="420" w:hanging="42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4FD971E0"/>
    <w:multiLevelType w:val="multilevel"/>
    <w:tmpl w:val="4FD971E0"/>
    <w:lvl w:ilvl="0" w:tentative="0">
      <w:start w:val="1"/>
      <w:numFmt w:val="bullet"/>
      <w:lvlText w:val=""/>
      <w:lvlJc w:val="left"/>
      <w:pPr>
        <w:tabs>
          <w:tab w:val="left" w:pos="720"/>
        </w:tabs>
        <w:ind w:left="580" w:hanging="360"/>
      </w:pPr>
      <w:rPr>
        <w:rFonts w:hint="default" w:ascii="Symbol" w:hAnsi="Symbol"/>
        <w:sz w:val="20"/>
        <w:szCs w:val="20"/>
      </w:rPr>
    </w:lvl>
    <w:lvl w:ilvl="1" w:tentative="0">
      <w:start w:val="1"/>
      <w:numFmt w:val="bullet"/>
      <w:lvlText w:val="o"/>
      <w:lvlJc w:val="left"/>
      <w:pPr>
        <w:tabs>
          <w:tab w:val="left" w:pos="1440"/>
        </w:tabs>
        <w:ind w:left="1440" w:hanging="360"/>
      </w:pPr>
      <w:rPr>
        <w:rFonts w:hint="default" w:ascii="Courier New" w:hAnsi="Courier New" w:cs="Times New Roman"/>
        <w:sz w:val="20"/>
        <w:szCs w:val="20"/>
      </w:rPr>
    </w:lvl>
    <w:lvl w:ilvl="2" w:tentative="0">
      <w:start w:val="1"/>
      <w:numFmt w:val="bullet"/>
      <w:lvlText w:val=""/>
      <w:lvlJc w:val="left"/>
      <w:pPr>
        <w:tabs>
          <w:tab w:val="left" w:pos="2160"/>
        </w:tabs>
        <w:ind w:left="2160" w:hanging="360"/>
      </w:pPr>
      <w:rPr>
        <w:rFonts w:hint="default" w:ascii="Wingdings" w:hAnsi="Wingdings"/>
        <w:sz w:val="20"/>
        <w:szCs w:val="20"/>
      </w:rPr>
    </w:lvl>
    <w:lvl w:ilvl="3" w:tentative="0">
      <w:start w:val="1"/>
      <w:numFmt w:val="bullet"/>
      <w:lvlText w:val=""/>
      <w:lvlJc w:val="left"/>
      <w:pPr>
        <w:tabs>
          <w:tab w:val="left" w:pos="2880"/>
        </w:tabs>
        <w:ind w:left="2880" w:hanging="360"/>
      </w:pPr>
      <w:rPr>
        <w:rFonts w:hint="default" w:ascii="Wingdings" w:hAnsi="Wingdings"/>
        <w:sz w:val="20"/>
        <w:szCs w:val="20"/>
      </w:rPr>
    </w:lvl>
    <w:lvl w:ilvl="4" w:tentative="0">
      <w:start w:val="1"/>
      <w:numFmt w:val="bullet"/>
      <w:lvlText w:val=""/>
      <w:lvlJc w:val="left"/>
      <w:pPr>
        <w:tabs>
          <w:tab w:val="left" w:pos="3600"/>
        </w:tabs>
        <w:ind w:left="3600" w:hanging="360"/>
      </w:pPr>
      <w:rPr>
        <w:rFonts w:hint="default" w:ascii="Wingdings" w:hAnsi="Wingdings"/>
        <w:sz w:val="20"/>
        <w:szCs w:val="20"/>
      </w:rPr>
    </w:lvl>
    <w:lvl w:ilvl="5" w:tentative="0">
      <w:start w:val="1"/>
      <w:numFmt w:val="bullet"/>
      <w:lvlText w:val=""/>
      <w:lvlJc w:val="left"/>
      <w:pPr>
        <w:tabs>
          <w:tab w:val="left" w:pos="4320"/>
        </w:tabs>
        <w:ind w:left="4320" w:hanging="360"/>
      </w:pPr>
      <w:rPr>
        <w:rFonts w:hint="default" w:ascii="Wingdings" w:hAnsi="Wingdings"/>
        <w:sz w:val="20"/>
        <w:szCs w:val="20"/>
      </w:rPr>
    </w:lvl>
    <w:lvl w:ilvl="6" w:tentative="0">
      <w:start w:val="1"/>
      <w:numFmt w:val="bullet"/>
      <w:lvlText w:val=""/>
      <w:lvlJc w:val="left"/>
      <w:pPr>
        <w:tabs>
          <w:tab w:val="left" w:pos="5040"/>
        </w:tabs>
        <w:ind w:left="5040" w:hanging="360"/>
      </w:pPr>
      <w:rPr>
        <w:rFonts w:hint="default" w:ascii="Wingdings" w:hAnsi="Wingdings"/>
        <w:sz w:val="20"/>
        <w:szCs w:val="20"/>
      </w:rPr>
    </w:lvl>
    <w:lvl w:ilvl="7" w:tentative="0">
      <w:start w:val="1"/>
      <w:numFmt w:val="bullet"/>
      <w:lvlText w:val=""/>
      <w:lvlJc w:val="left"/>
      <w:pPr>
        <w:tabs>
          <w:tab w:val="left" w:pos="5760"/>
        </w:tabs>
        <w:ind w:left="5760" w:hanging="360"/>
      </w:pPr>
      <w:rPr>
        <w:rFonts w:hint="default" w:ascii="Wingdings" w:hAnsi="Wingdings"/>
        <w:sz w:val="20"/>
        <w:szCs w:val="20"/>
      </w:rPr>
    </w:lvl>
    <w:lvl w:ilvl="8" w:tentative="0">
      <w:start w:val="1"/>
      <w:numFmt w:val="bullet"/>
      <w:lvlText w:val=""/>
      <w:lvlJc w:val="left"/>
      <w:pPr>
        <w:tabs>
          <w:tab w:val="left" w:pos="6480"/>
        </w:tabs>
        <w:ind w:left="6480" w:hanging="360"/>
      </w:pPr>
      <w:rPr>
        <w:rFonts w:hint="default" w:ascii="Wingdings" w:hAnsi="Wingdings"/>
        <w:sz w:val="20"/>
        <w:szCs w:val="20"/>
      </w:rPr>
    </w:lvl>
  </w:abstractNum>
  <w:abstractNum w:abstractNumId="13">
    <w:nsid w:val="5224043B"/>
    <w:multiLevelType w:val="multilevel"/>
    <w:tmpl w:val="5224043B"/>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4">
    <w:nsid w:val="5EBB6F27"/>
    <w:multiLevelType w:val="multilevel"/>
    <w:tmpl w:val="5EBB6F27"/>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604D3029"/>
    <w:multiLevelType w:val="multilevel"/>
    <w:tmpl w:val="604D3029"/>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640572E6"/>
    <w:multiLevelType w:val="multilevel"/>
    <w:tmpl w:val="640572E6"/>
    <w:lvl w:ilvl="0" w:tentative="0">
      <w:start w:val="1"/>
      <w:numFmt w:val="lowerRoman"/>
      <w:lvlText w:val="%1."/>
      <w:lvlJc w:val="right"/>
      <w:pPr>
        <w:ind w:left="773" w:hanging="360"/>
      </w:pPr>
    </w:lvl>
    <w:lvl w:ilvl="1" w:tentative="0">
      <w:start w:val="1"/>
      <w:numFmt w:val="lowerLetter"/>
      <w:lvlText w:val="%2."/>
      <w:lvlJc w:val="left"/>
      <w:pPr>
        <w:ind w:left="1493" w:hanging="360"/>
      </w:pPr>
    </w:lvl>
    <w:lvl w:ilvl="2" w:tentative="0">
      <w:start w:val="1"/>
      <w:numFmt w:val="lowerRoman"/>
      <w:lvlText w:val="%3."/>
      <w:lvlJc w:val="right"/>
      <w:pPr>
        <w:ind w:left="2213" w:hanging="180"/>
      </w:pPr>
    </w:lvl>
    <w:lvl w:ilvl="3" w:tentative="0">
      <w:start w:val="1"/>
      <w:numFmt w:val="decimal"/>
      <w:lvlText w:val="%4."/>
      <w:lvlJc w:val="left"/>
      <w:pPr>
        <w:ind w:left="2933" w:hanging="360"/>
      </w:pPr>
    </w:lvl>
    <w:lvl w:ilvl="4" w:tentative="0">
      <w:start w:val="1"/>
      <w:numFmt w:val="lowerLetter"/>
      <w:lvlText w:val="%5."/>
      <w:lvlJc w:val="left"/>
      <w:pPr>
        <w:ind w:left="3653" w:hanging="360"/>
      </w:pPr>
    </w:lvl>
    <w:lvl w:ilvl="5" w:tentative="0">
      <w:start w:val="1"/>
      <w:numFmt w:val="lowerRoman"/>
      <w:lvlText w:val="%6."/>
      <w:lvlJc w:val="right"/>
      <w:pPr>
        <w:ind w:left="4373" w:hanging="180"/>
      </w:pPr>
    </w:lvl>
    <w:lvl w:ilvl="6" w:tentative="0">
      <w:start w:val="1"/>
      <w:numFmt w:val="decimal"/>
      <w:lvlText w:val="%7."/>
      <w:lvlJc w:val="left"/>
      <w:pPr>
        <w:ind w:left="5093" w:hanging="360"/>
      </w:pPr>
    </w:lvl>
    <w:lvl w:ilvl="7" w:tentative="0">
      <w:start w:val="1"/>
      <w:numFmt w:val="lowerLetter"/>
      <w:lvlText w:val="%8."/>
      <w:lvlJc w:val="left"/>
      <w:pPr>
        <w:ind w:left="5813" w:hanging="360"/>
      </w:pPr>
    </w:lvl>
    <w:lvl w:ilvl="8" w:tentative="0">
      <w:start w:val="1"/>
      <w:numFmt w:val="lowerRoman"/>
      <w:lvlText w:val="%9."/>
      <w:lvlJc w:val="right"/>
      <w:pPr>
        <w:ind w:left="6533" w:hanging="180"/>
      </w:pPr>
    </w:lvl>
  </w:abstractNum>
  <w:abstractNum w:abstractNumId="17">
    <w:nsid w:val="64E87410"/>
    <w:multiLevelType w:val="multilevel"/>
    <w:tmpl w:val="64E87410"/>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C315A2C"/>
    <w:multiLevelType w:val="multilevel"/>
    <w:tmpl w:val="6C315A2C"/>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2"/>
  </w:num>
  <w:num w:numId="2">
    <w:abstractNumId w:val="3"/>
  </w:num>
  <w:num w:numId="3">
    <w:abstractNumId w:val="5"/>
  </w:num>
  <w:num w:numId="4">
    <w:abstractNumId w:val="10"/>
  </w:num>
  <w:num w:numId="5">
    <w:abstractNumId w:val="11"/>
  </w:num>
  <w:num w:numId="6">
    <w:abstractNumId w:val="18"/>
  </w:num>
  <w:num w:numId="7">
    <w:abstractNumId w:val="15"/>
  </w:num>
  <w:num w:numId="8">
    <w:abstractNumId w:val="6"/>
  </w:num>
  <w:num w:numId="9">
    <w:abstractNumId w:val="14"/>
  </w:num>
  <w:num w:numId="10">
    <w:abstractNumId w:val="17"/>
  </w:num>
  <w:num w:numId="11">
    <w:abstractNumId w:val="16"/>
  </w:num>
  <w:num w:numId="12">
    <w:abstractNumId w:val="4"/>
  </w:num>
  <w:num w:numId="13">
    <w:abstractNumId w:val="0"/>
  </w:num>
  <w:num w:numId="14">
    <w:abstractNumId w:val="7"/>
  </w:num>
  <w:num w:numId="15">
    <w:abstractNumId w:val="13"/>
  </w:num>
  <w:num w:numId="16">
    <w:abstractNumId w:val="2"/>
  </w:num>
  <w:num w:numId="17">
    <w:abstractNumId w:val="1"/>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attachedTemplate r:id="rId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7944"/>
    <w:rsid w:val="00666D15"/>
    <w:rsid w:val="007051CA"/>
    <w:rsid w:val="00872447"/>
    <w:rsid w:val="009132A0"/>
    <w:rsid w:val="00B9606A"/>
    <w:rsid w:val="00D66992"/>
    <w:rsid w:val="00F805BD"/>
    <w:rsid w:val="0319182B"/>
    <w:rsid w:val="0A6E1EE7"/>
    <w:rsid w:val="1A8E4769"/>
    <w:rsid w:val="442612A9"/>
    <w:rsid w:val="4A82562B"/>
    <w:rsid w:val="512C5543"/>
    <w:rsid w:val="6A925C1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en-US" w:bidi="ar-SA"/>
    </w:rPr>
  </w:style>
  <w:style w:type="paragraph" w:styleId="2">
    <w:name w:val="heading 1"/>
    <w:basedOn w:val="1"/>
    <w:next w:val="1"/>
    <w:link w:val="23"/>
    <w:qFormat/>
    <w:uiPriority w:val="9"/>
    <w:pPr>
      <w:keepNext/>
      <w:keepLines/>
      <w:spacing w:before="320" w:after="0" w:line="240" w:lineRule="auto"/>
      <w:outlineLvl w:val="0"/>
    </w:pPr>
    <w:rPr>
      <w:rFonts w:asciiTheme="majorHAnsi" w:hAnsiTheme="majorHAnsi" w:eastAsiaTheme="majorEastAsia" w:cstheme="majorBidi"/>
      <w:color w:val="2F5597" w:themeColor="accent1" w:themeShade="BF"/>
      <w:sz w:val="30"/>
      <w:szCs w:val="30"/>
    </w:rPr>
  </w:style>
  <w:style w:type="paragraph" w:styleId="3">
    <w:name w:val="heading 2"/>
    <w:basedOn w:val="1"/>
    <w:next w:val="1"/>
    <w:link w:val="24"/>
    <w:unhideWhenUsed/>
    <w:qFormat/>
    <w:uiPriority w:val="9"/>
    <w:pPr>
      <w:keepNext/>
      <w:keepLines/>
      <w:spacing w:before="40" w:after="0" w:line="240" w:lineRule="auto"/>
      <w:outlineLvl w:val="1"/>
    </w:pPr>
    <w:rPr>
      <w:rFonts w:asciiTheme="majorHAnsi" w:hAnsiTheme="majorHAnsi" w:eastAsiaTheme="majorEastAsia" w:cstheme="majorBidi"/>
      <w:color w:val="C55A11" w:themeColor="accent2" w:themeShade="BF"/>
      <w:sz w:val="28"/>
      <w:szCs w:val="28"/>
    </w:rPr>
  </w:style>
  <w:style w:type="paragraph" w:styleId="4">
    <w:name w:val="heading 3"/>
    <w:basedOn w:val="1"/>
    <w:next w:val="1"/>
    <w:link w:val="25"/>
    <w:semiHidden/>
    <w:unhideWhenUsed/>
    <w:qFormat/>
    <w:uiPriority w:val="9"/>
    <w:pPr>
      <w:keepNext/>
      <w:keepLines/>
      <w:spacing w:before="40" w:after="0" w:line="240" w:lineRule="auto"/>
      <w:outlineLvl w:val="2"/>
    </w:pPr>
    <w:rPr>
      <w:rFonts w:asciiTheme="majorHAnsi" w:hAnsiTheme="majorHAnsi" w:eastAsiaTheme="majorEastAsia" w:cstheme="majorBidi"/>
      <w:color w:val="548235" w:themeColor="accent6" w:themeShade="BF"/>
      <w:sz w:val="26"/>
      <w:szCs w:val="26"/>
    </w:rPr>
  </w:style>
  <w:style w:type="paragraph" w:styleId="5">
    <w:name w:val="heading 4"/>
    <w:basedOn w:val="1"/>
    <w:next w:val="1"/>
    <w:link w:val="26"/>
    <w:semiHidden/>
    <w:unhideWhenUsed/>
    <w:qFormat/>
    <w:uiPriority w:val="9"/>
    <w:pPr>
      <w:keepNext/>
      <w:keepLines/>
      <w:spacing w:before="40" w:after="0"/>
      <w:outlineLvl w:val="3"/>
    </w:pPr>
    <w:rPr>
      <w:rFonts w:asciiTheme="majorHAnsi" w:hAnsiTheme="majorHAnsi" w:eastAsiaTheme="majorEastAsia" w:cstheme="majorBidi"/>
      <w:i/>
      <w:iCs/>
      <w:color w:val="2E75B6" w:themeColor="accent5" w:themeShade="BF"/>
      <w:sz w:val="25"/>
      <w:szCs w:val="25"/>
    </w:rPr>
  </w:style>
  <w:style w:type="paragraph" w:styleId="6">
    <w:name w:val="heading 5"/>
    <w:basedOn w:val="1"/>
    <w:next w:val="1"/>
    <w:link w:val="27"/>
    <w:semiHidden/>
    <w:unhideWhenUsed/>
    <w:qFormat/>
    <w:uiPriority w:val="9"/>
    <w:pPr>
      <w:keepNext/>
      <w:keepLines/>
      <w:spacing w:before="40" w:after="0"/>
      <w:outlineLvl w:val="4"/>
    </w:pPr>
    <w:rPr>
      <w:rFonts w:asciiTheme="majorHAnsi" w:hAnsiTheme="majorHAnsi" w:eastAsiaTheme="majorEastAsia" w:cstheme="majorBidi"/>
      <w:i/>
      <w:iCs/>
      <w:color w:val="843C0B" w:themeColor="accent2" w:themeShade="80"/>
      <w:sz w:val="24"/>
      <w:szCs w:val="24"/>
    </w:rPr>
  </w:style>
  <w:style w:type="paragraph" w:styleId="7">
    <w:name w:val="heading 6"/>
    <w:basedOn w:val="1"/>
    <w:next w:val="1"/>
    <w:link w:val="28"/>
    <w:semiHidden/>
    <w:unhideWhenUsed/>
    <w:qFormat/>
    <w:uiPriority w:val="9"/>
    <w:pPr>
      <w:keepNext/>
      <w:keepLines/>
      <w:spacing w:before="40" w:after="0"/>
      <w:outlineLvl w:val="5"/>
    </w:pPr>
    <w:rPr>
      <w:rFonts w:asciiTheme="majorHAnsi" w:hAnsiTheme="majorHAnsi" w:eastAsiaTheme="majorEastAsia" w:cstheme="majorBidi"/>
      <w:i/>
      <w:iCs/>
      <w:color w:val="385724" w:themeColor="accent6" w:themeShade="80"/>
      <w:sz w:val="23"/>
      <w:szCs w:val="23"/>
    </w:rPr>
  </w:style>
  <w:style w:type="paragraph" w:styleId="8">
    <w:name w:val="heading 7"/>
    <w:basedOn w:val="1"/>
    <w:next w:val="1"/>
    <w:link w:val="29"/>
    <w:semiHidden/>
    <w:unhideWhenUsed/>
    <w:qFormat/>
    <w:uiPriority w:val="9"/>
    <w:pPr>
      <w:keepNext/>
      <w:keepLines/>
      <w:spacing w:before="40" w:after="0"/>
      <w:outlineLvl w:val="6"/>
    </w:pPr>
    <w:rPr>
      <w:rFonts w:asciiTheme="majorHAnsi" w:hAnsiTheme="majorHAnsi" w:eastAsiaTheme="majorEastAsia" w:cstheme="majorBidi"/>
      <w:color w:val="203864" w:themeColor="accent1" w:themeShade="80"/>
    </w:rPr>
  </w:style>
  <w:style w:type="paragraph" w:styleId="9">
    <w:name w:val="heading 8"/>
    <w:basedOn w:val="1"/>
    <w:next w:val="1"/>
    <w:link w:val="30"/>
    <w:semiHidden/>
    <w:unhideWhenUsed/>
    <w:qFormat/>
    <w:uiPriority w:val="9"/>
    <w:pPr>
      <w:keepNext/>
      <w:keepLines/>
      <w:spacing w:before="40" w:after="0"/>
      <w:outlineLvl w:val="7"/>
    </w:pPr>
    <w:rPr>
      <w:rFonts w:asciiTheme="majorHAnsi" w:hAnsiTheme="majorHAnsi" w:eastAsiaTheme="majorEastAsia" w:cstheme="majorBidi"/>
      <w:color w:val="843C0B" w:themeColor="accent2" w:themeShade="80"/>
      <w:sz w:val="21"/>
      <w:szCs w:val="21"/>
    </w:rPr>
  </w:style>
  <w:style w:type="paragraph" w:styleId="10">
    <w:name w:val="heading 9"/>
    <w:basedOn w:val="1"/>
    <w:next w:val="1"/>
    <w:link w:val="31"/>
    <w:semiHidden/>
    <w:unhideWhenUsed/>
    <w:qFormat/>
    <w:uiPriority w:val="9"/>
    <w:pPr>
      <w:keepNext/>
      <w:keepLines/>
      <w:spacing w:before="40" w:after="0"/>
      <w:outlineLvl w:val="8"/>
    </w:pPr>
    <w:rPr>
      <w:rFonts w:asciiTheme="majorHAnsi" w:hAnsiTheme="majorHAnsi" w:eastAsiaTheme="majorEastAsia" w:cstheme="majorBidi"/>
      <w:color w:val="385724" w:themeColor="accent6" w:themeShade="80"/>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caption"/>
    <w:basedOn w:val="1"/>
    <w:next w:val="1"/>
    <w:semiHidden/>
    <w:unhideWhenUsed/>
    <w:qFormat/>
    <w:uiPriority w:val="35"/>
    <w:pPr>
      <w:spacing w:line="240" w:lineRule="auto"/>
    </w:pPr>
    <w:rPr>
      <w:b/>
      <w:bCs/>
      <w:smallCaps/>
      <w:color w:val="4472C4" w:themeColor="accent1"/>
      <w:spacing w:val="6"/>
      <w14:textFill>
        <w14:solidFill>
          <w14:schemeClr w14:val="accent1"/>
        </w14:solidFill>
      </w14:textFill>
    </w:rPr>
  </w:style>
  <w:style w:type="character" w:styleId="14">
    <w:name w:val="Emphasis"/>
    <w:basedOn w:val="11"/>
    <w:qFormat/>
    <w:uiPriority w:val="20"/>
    <w:rPr>
      <w:i/>
      <w:iCs/>
    </w:rPr>
  </w:style>
  <w:style w:type="paragraph" w:styleId="15">
    <w:name w:val="footer"/>
    <w:basedOn w:val="1"/>
    <w:link w:val="47"/>
    <w:unhideWhenUsed/>
    <w:qFormat/>
    <w:uiPriority w:val="99"/>
    <w:pPr>
      <w:tabs>
        <w:tab w:val="center" w:pos="4513"/>
        <w:tab w:val="right" w:pos="9026"/>
      </w:tabs>
      <w:spacing w:after="0" w:line="240" w:lineRule="auto"/>
    </w:pPr>
  </w:style>
  <w:style w:type="paragraph" w:styleId="16">
    <w:name w:val="header"/>
    <w:basedOn w:val="1"/>
    <w:link w:val="46"/>
    <w:unhideWhenUsed/>
    <w:qFormat/>
    <w:uiPriority w:val="99"/>
    <w:pPr>
      <w:tabs>
        <w:tab w:val="center" w:pos="4513"/>
        <w:tab w:val="right" w:pos="9026"/>
      </w:tabs>
      <w:spacing w:after="0" w:line="240" w:lineRule="auto"/>
    </w:pPr>
  </w:style>
  <w:style w:type="character" w:styleId="17">
    <w:name w:val="Strong"/>
    <w:basedOn w:val="11"/>
    <w:qFormat/>
    <w:uiPriority w:val="22"/>
    <w:rPr>
      <w:b/>
      <w:bCs/>
    </w:rPr>
  </w:style>
  <w:style w:type="paragraph" w:styleId="18">
    <w:name w:val="Subtitle"/>
    <w:basedOn w:val="1"/>
    <w:next w:val="1"/>
    <w:link w:val="33"/>
    <w:qFormat/>
    <w:uiPriority w:val="11"/>
    <w:pPr>
      <w:spacing w:line="240" w:lineRule="auto"/>
    </w:pPr>
    <w:rPr>
      <w:rFonts w:asciiTheme="majorHAnsi" w:hAnsiTheme="majorHAnsi" w:eastAsiaTheme="majorEastAsia" w:cstheme="majorBidi"/>
    </w:rPr>
  </w:style>
  <w:style w:type="table" w:styleId="19">
    <w:name w:val="Table Grid"/>
    <w:basedOn w:val="12"/>
    <w:qFormat/>
    <w:uiPriority w:val="39"/>
    <w:pPr>
      <w:spacing w:after="0" w:line="240" w:lineRule="auto"/>
    </w:pPr>
    <w:rPr>
      <w:rFonts w:eastAsiaTheme="minorHAnsi"/>
      <w:kern w:val="2"/>
      <w:sz w:val="24"/>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link w:val="32"/>
    <w:qFormat/>
    <w:uiPriority w:val="10"/>
    <w:pPr>
      <w:spacing w:after="0" w:line="240" w:lineRule="auto"/>
      <w:contextualSpacing/>
    </w:pPr>
    <w:rPr>
      <w:rFonts w:asciiTheme="majorHAnsi" w:hAnsiTheme="majorHAnsi" w:eastAsiaTheme="majorEastAsia" w:cstheme="majorBidi"/>
      <w:color w:val="2F5597" w:themeColor="accent1" w:themeShade="BF"/>
      <w:spacing w:val="-10"/>
      <w:sz w:val="52"/>
      <w:szCs w:val="52"/>
    </w:rPr>
  </w:style>
  <w:style w:type="paragraph" w:styleId="21">
    <w:name w:val="toc 1"/>
    <w:basedOn w:val="1"/>
    <w:next w:val="1"/>
    <w:semiHidden/>
    <w:unhideWhenUsed/>
    <w:qFormat/>
    <w:uiPriority w:val="39"/>
  </w:style>
  <w:style w:type="paragraph" w:styleId="22">
    <w:name w:val="toc 2"/>
    <w:basedOn w:val="1"/>
    <w:next w:val="1"/>
    <w:semiHidden/>
    <w:unhideWhenUsed/>
    <w:qFormat/>
    <w:uiPriority w:val="39"/>
    <w:pPr>
      <w:ind w:left="420" w:leftChars="200"/>
    </w:pPr>
  </w:style>
  <w:style w:type="character" w:customStyle="1" w:styleId="23">
    <w:name w:val="Heading 1 Char"/>
    <w:basedOn w:val="11"/>
    <w:link w:val="2"/>
    <w:qFormat/>
    <w:uiPriority w:val="9"/>
    <w:rPr>
      <w:rFonts w:asciiTheme="majorHAnsi" w:hAnsiTheme="majorHAnsi" w:eastAsiaTheme="majorEastAsia" w:cstheme="majorBidi"/>
      <w:color w:val="2F5597" w:themeColor="accent1" w:themeShade="BF"/>
      <w:sz w:val="30"/>
      <w:szCs w:val="30"/>
    </w:rPr>
  </w:style>
  <w:style w:type="character" w:customStyle="1" w:styleId="24">
    <w:name w:val="Heading 2 Char"/>
    <w:basedOn w:val="11"/>
    <w:link w:val="3"/>
    <w:qFormat/>
    <w:uiPriority w:val="9"/>
    <w:rPr>
      <w:rFonts w:asciiTheme="majorHAnsi" w:hAnsiTheme="majorHAnsi" w:eastAsiaTheme="majorEastAsia" w:cstheme="majorBidi"/>
      <w:color w:val="C55A11" w:themeColor="accent2" w:themeShade="BF"/>
      <w:sz w:val="28"/>
      <w:szCs w:val="28"/>
    </w:rPr>
  </w:style>
  <w:style w:type="character" w:customStyle="1" w:styleId="25">
    <w:name w:val="Heading 3 Char"/>
    <w:basedOn w:val="11"/>
    <w:link w:val="4"/>
    <w:semiHidden/>
    <w:qFormat/>
    <w:uiPriority w:val="9"/>
    <w:rPr>
      <w:rFonts w:asciiTheme="majorHAnsi" w:hAnsiTheme="majorHAnsi" w:eastAsiaTheme="majorEastAsia" w:cstheme="majorBidi"/>
      <w:color w:val="548235" w:themeColor="accent6" w:themeShade="BF"/>
      <w:sz w:val="26"/>
      <w:szCs w:val="26"/>
    </w:rPr>
  </w:style>
  <w:style w:type="character" w:customStyle="1" w:styleId="26">
    <w:name w:val="Heading 4 Char"/>
    <w:basedOn w:val="11"/>
    <w:link w:val="5"/>
    <w:semiHidden/>
    <w:qFormat/>
    <w:uiPriority w:val="9"/>
    <w:rPr>
      <w:rFonts w:asciiTheme="majorHAnsi" w:hAnsiTheme="majorHAnsi" w:eastAsiaTheme="majorEastAsia" w:cstheme="majorBidi"/>
      <w:i/>
      <w:iCs/>
      <w:color w:val="2E75B6" w:themeColor="accent5" w:themeShade="BF"/>
      <w:sz w:val="25"/>
      <w:szCs w:val="25"/>
    </w:rPr>
  </w:style>
  <w:style w:type="character" w:customStyle="1" w:styleId="27">
    <w:name w:val="Heading 5 Char"/>
    <w:basedOn w:val="11"/>
    <w:link w:val="6"/>
    <w:semiHidden/>
    <w:qFormat/>
    <w:uiPriority w:val="9"/>
    <w:rPr>
      <w:rFonts w:asciiTheme="majorHAnsi" w:hAnsiTheme="majorHAnsi" w:eastAsiaTheme="majorEastAsia" w:cstheme="majorBidi"/>
      <w:i/>
      <w:iCs/>
      <w:color w:val="843C0B" w:themeColor="accent2" w:themeShade="80"/>
      <w:sz w:val="24"/>
      <w:szCs w:val="24"/>
    </w:rPr>
  </w:style>
  <w:style w:type="character" w:customStyle="1" w:styleId="28">
    <w:name w:val="Heading 6 Char"/>
    <w:basedOn w:val="11"/>
    <w:link w:val="7"/>
    <w:semiHidden/>
    <w:qFormat/>
    <w:uiPriority w:val="9"/>
    <w:rPr>
      <w:rFonts w:asciiTheme="majorHAnsi" w:hAnsiTheme="majorHAnsi" w:eastAsiaTheme="majorEastAsia" w:cstheme="majorBidi"/>
      <w:i/>
      <w:iCs/>
      <w:color w:val="385724" w:themeColor="accent6" w:themeShade="80"/>
      <w:sz w:val="23"/>
      <w:szCs w:val="23"/>
    </w:rPr>
  </w:style>
  <w:style w:type="character" w:customStyle="1" w:styleId="29">
    <w:name w:val="Heading 7 Char"/>
    <w:basedOn w:val="11"/>
    <w:link w:val="8"/>
    <w:semiHidden/>
    <w:qFormat/>
    <w:uiPriority w:val="9"/>
    <w:rPr>
      <w:rFonts w:asciiTheme="majorHAnsi" w:hAnsiTheme="majorHAnsi" w:eastAsiaTheme="majorEastAsia" w:cstheme="majorBidi"/>
      <w:color w:val="203864" w:themeColor="accent1" w:themeShade="80"/>
    </w:rPr>
  </w:style>
  <w:style w:type="character" w:customStyle="1" w:styleId="30">
    <w:name w:val="Heading 8 Char"/>
    <w:basedOn w:val="11"/>
    <w:link w:val="9"/>
    <w:semiHidden/>
    <w:qFormat/>
    <w:uiPriority w:val="9"/>
    <w:rPr>
      <w:rFonts w:asciiTheme="majorHAnsi" w:hAnsiTheme="majorHAnsi" w:eastAsiaTheme="majorEastAsia" w:cstheme="majorBidi"/>
      <w:color w:val="843C0B" w:themeColor="accent2" w:themeShade="80"/>
      <w:sz w:val="21"/>
      <w:szCs w:val="21"/>
    </w:rPr>
  </w:style>
  <w:style w:type="character" w:customStyle="1" w:styleId="31">
    <w:name w:val="Heading 9 Char"/>
    <w:basedOn w:val="11"/>
    <w:link w:val="10"/>
    <w:semiHidden/>
    <w:qFormat/>
    <w:uiPriority w:val="9"/>
    <w:rPr>
      <w:rFonts w:asciiTheme="majorHAnsi" w:hAnsiTheme="majorHAnsi" w:eastAsiaTheme="majorEastAsia" w:cstheme="majorBidi"/>
      <w:color w:val="385724" w:themeColor="accent6" w:themeShade="80"/>
    </w:rPr>
  </w:style>
  <w:style w:type="character" w:customStyle="1" w:styleId="32">
    <w:name w:val="Title Char"/>
    <w:basedOn w:val="11"/>
    <w:link w:val="20"/>
    <w:qFormat/>
    <w:uiPriority w:val="10"/>
    <w:rPr>
      <w:rFonts w:asciiTheme="majorHAnsi" w:hAnsiTheme="majorHAnsi" w:eastAsiaTheme="majorEastAsia" w:cstheme="majorBidi"/>
      <w:color w:val="2F5597" w:themeColor="accent1" w:themeShade="BF"/>
      <w:spacing w:val="-10"/>
      <w:sz w:val="52"/>
      <w:szCs w:val="52"/>
    </w:rPr>
  </w:style>
  <w:style w:type="character" w:customStyle="1" w:styleId="33">
    <w:name w:val="Subtitle Char"/>
    <w:basedOn w:val="11"/>
    <w:link w:val="18"/>
    <w:qFormat/>
    <w:uiPriority w:val="11"/>
    <w:rPr>
      <w:rFonts w:asciiTheme="majorHAnsi" w:hAnsiTheme="majorHAnsi" w:eastAsiaTheme="majorEastAsia" w:cstheme="majorBidi"/>
    </w:rPr>
  </w:style>
  <w:style w:type="paragraph" w:styleId="34">
    <w:name w:val="Quote"/>
    <w:basedOn w:val="1"/>
    <w:next w:val="1"/>
    <w:link w:val="35"/>
    <w:qFormat/>
    <w:uiPriority w:val="29"/>
    <w:pPr>
      <w:spacing w:before="120"/>
      <w:ind w:left="720" w:right="720"/>
      <w:jc w:val="center"/>
    </w:pPr>
    <w:rPr>
      <w:i/>
      <w:iCs/>
    </w:rPr>
  </w:style>
  <w:style w:type="character" w:customStyle="1" w:styleId="35">
    <w:name w:val="Quote Char"/>
    <w:basedOn w:val="11"/>
    <w:link w:val="34"/>
    <w:qFormat/>
    <w:uiPriority w:val="29"/>
    <w:rPr>
      <w:i/>
      <w:iCs/>
    </w:rPr>
  </w:style>
  <w:style w:type="paragraph" w:styleId="36">
    <w:name w:val="List Paragraph"/>
    <w:basedOn w:val="1"/>
    <w:qFormat/>
    <w:uiPriority w:val="34"/>
    <w:pPr>
      <w:ind w:left="720"/>
      <w:contextualSpacing/>
    </w:pPr>
  </w:style>
  <w:style w:type="character" w:customStyle="1" w:styleId="37">
    <w:name w:val="Intense Emphasis"/>
    <w:basedOn w:val="11"/>
    <w:qFormat/>
    <w:uiPriority w:val="21"/>
    <w:rPr>
      <w:i/>
      <w:iCs/>
      <w:color w:val="4472C4" w:themeColor="accent1"/>
      <w14:textFill>
        <w14:solidFill>
          <w14:schemeClr w14:val="accent1"/>
        </w14:solidFill>
      </w14:textFill>
    </w:rPr>
  </w:style>
  <w:style w:type="paragraph" w:styleId="38">
    <w:name w:val="Intense Quote"/>
    <w:basedOn w:val="1"/>
    <w:next w:val="1"/>
    <w:link w:val="39"/>
    <w:qFormat/>
    <w:uiPriority w:val="30"/>
    <w:pPr>
      <w:spacing w:before="120" w:line="300" w:lineRule="auto"/>
      <w:ind w:left="576" w:right="576"/>
      <w:jc w:val="center"/>
    </w:pPr>
    <w:rPr>
      <w:rFonts w:asciiTheme="majorHAnsi" w:hAnsiTheme="majorHAnsi" w:eastAsiaTheme="majorEastAsia" w:cstheme="majorBidi"/>
      <w:color w:val="4472C4" w:themeColor="accent1"/>
      <w:sz w:val="24"/>
      <w:szCs w:val="24"/>
      <w14:textFill>
        <w14:solidFill>
          <w14:schemeClr w14:val="accent1"/>
        </w14:solidFill>
      </w14:textFill>
    </w:rPr>
  </w:style>
  <w:style w:type="character" w:customStyle="1" w:styleId="39">
    <w:name w:val="Intense Quote Char"/>
    <w:basedOn w:val="11"/>
    <w:link w:val="38"/>
    <w:qFormat/>
    <w:uiPriority w:val="30"/>
    <w:rPr>
      <w:rFonts w:asciiTheme="majorHAnsi" w:hAnsiTheme="majorHAnsi" w:eastAsiaTheme="majorEastAsia" w:cstheme="majorBidi"/>
      <w:color w:val="4472C4" w:themeColor="accent1"/>
      <w:sz w:val="24"/>
      <w:szCs w:val="24"/>
      <w14:textFill>
        <w14:solidFill>
          <w14:schemeClr w14:val="accent1"/>
        </w14:solidFill>
      </w14:textFill>
    </w:rPr>
  </w:style>
  <w:style w:type="character" w:customStyle="1" w:styleId="40">
    <w:name w:val="Intense Reference"/>
    <w:basedOn w:val="11"/>
    <w:qFormat/>
    <w:uiPriority w:val="32"/>
    <w:rPr>
      <w:b/>
      <w:bCs/>
      <w:smallCaps/>
      <w:color w:val="4472C4" w:themeColor="accent1"/>
      <w:spacing w:val="5"/>
      <w:u w:val="single"/>
      <w14:textFill>
        <w14:solidFill>
          <w14:schemeClr w14:val="accent1"/>
        </w14:solidFill>
      </w14:textFill>
    </w:rPr>
  </w:style>
  <w:style w:type="paragraph" w:styleId="41">
    <w:name w:val="No Spacing"/>
    <w:qFormat/>
    <w:uiPriority w:val="1"/>
    <w:pPr>
      <w:spacing w:after="0" w:line="240" w:lineRule="auto"/>
    </w:pPr>
    <w:rPr>
      <w:rFonts w:asciiTheme="minorHAnsi" w:hAnsiTheme="minorHAnsi" w:eastAsiaTheme="minorEastAsia" w:cstheme="minorBidi"/>
      <w:sz w:val="22"/>
      <w:szCs w:val="22"/>
      <w:lang w:val="en-GB" w:eastAsia="en-US" w:bidi="ar-SA"/>
    </w:rPr>
  </w:style>
  <w:style w:type="character" w:customStyle="1" w:styleId="42">
    <w:name w:val="Subtle Emphasis"/>
    <w:basedOn w:val="11"/>
    <w:qFormat/>
    <w:uiPriority w:val="19"/>
    <w:rPr>
      <w:i/>
      <w:iCs/>
      <w:color w:val="404040" w:themeColor="text1" w:themeTint="BF"/>
      <w14:textFill>
        <w14:solidFill>
          <w14:schemeClr w14:val="tx1">
            <w14:lumMod w14:val="75000"/>
            <w14:lumOff w14:val="25000"/>
          </w14:schemeClr>
        </w14:solidFill>
      </w14:textFill>
    </w:rPr>
  </w:style>
  <w:style w:type="character" w:customStyle="1" w:styleId="43">
    <w:name w:val="Subtle Reference"/>
    <w:basedOn w:val="11"/>
    <w:qFormat/>
    <w:uiPriority w:val="31"/>
    <w:rPr>
      <w:smallCaps/>
      <w:color w:val="404040" w:themeColor="text1" w:themeTint="BF"/>
      <w:u w:val="single" w:color="7E7E7E" w:themeColor="text1" w:themeTint="80"/>
      <w14:textFill>
        <w14:solidFill>
          <w14:schemeClr w14:val="tx1">
            <w14:lumMod w14:val="75000"/>
            <w14:lumOff w14:val="25000"/>
          </w14:schemeClr>
        </w14:solidFill>
      </w14:textFill>
    </w:rPr>
  </w:style>
  <w:style w:type="character" w:customStyle="1" w:styleId="44">
    <w:name w:val="Book Title"/>
    <w:basedOn w:val="11"/>
    <w:qFormat/>
    <w:uiPriority w:val="33"/>
    <w:rPr>
      <w:b/>
      <w:bCs/>
      <w:smallCaps/>
    </w:rPr>
  </w:style>
  <w:style w:type="paragraph" w:customStyle="1" w:styleId="45">
    <w:name w:val="TOC Heading"/>
    <w:basedOn w:val="2"/>
    <w:next w:val="1"/>
    <w:semiHidden/>
    <w:unhideWhenUsed/>
    <w:qFormat/>
    <w:uiPriority w:val="39"/>
    <w:pPr>
      <w:outlineLvl w:val="9"/>
    </w:pPr>
  </w:style>
  <w:style w:type="character" w:customStyle="1" w:styleId="46">
    <w:name w:val="Header Char"/>
    <w:basedOn w:val="11"/>
    <w:link w:val="16"/>
    <w:qFormat/>
    <w:uiPriority w:val="99"/>
  </w:style>
  <w:style w:type="character" w:customStyle="1" w:styleId="47">
    <w:name w:val="Footer Char"/>
    <w:basedOn w:val="11"/>
    <w:link w:val="15"/>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Local\Kingsoft\WPS%20Office\12.2.0.22530\office6\Normal.w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Design"/>
      <sectRole val="1"/>
    </customSectPr>
    <customSectPr/>
  </customSectProps>
  <customShpExts>
    <customShpInfo spid="_x0000_s1026"/>
    <customShpInfo spid="_x0000_s1028" textRotate="1"/>
    <customShpInfo spid="_x0000_s1027"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3401</Words>
  <Characters>19388</Characters>
  <Lines>161</Lines>
  <Paragraphs>45</Paragraphs>
  <TotalTime>83</TotalTime>
  <ScaleCrop>false</ScaleCrop>
  <LinksUpToDate>false</LinksUpToDate>
  <CharactersWithSpaces>22744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2025-09-14T09:50:00Z</dcterms:created>
  <dc:creator>Abimbola Adaranijo</dc:creator>
  <cp:lastModifiedBy>Aisha Abimbola Adaranijo</cp:lastModifiedBy>
  <dcterms:modified xsi:type="dcterms:W3CDTF">2026-01-30T13:03:14Z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70CCA0661A774E719FED8DC46BF2F17C_13</vt:lpwstr>
  </property>
</Properties>
</file>